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ATA/607/2010 vom 1. September 2010</w:t>
      </w:r>
    </w:p>
    <w:p>
      <w:r>
        <w:t>GE Cour de justice, 2010-09-01, FR</w:t>
      </w:r>
    </w:p>
    <w:p>
      <w:r>
        <w:rPr>
          <w:b/>
        </w:rPr>
        <w:t xml:space="preserve">Quelle: </w:t>
      </w:r>
      <w:r>
        <w:t>https://mcp.opencaselaw.ch/entscheid/ge_gerichte_ATA_607_2010</w:t>
      </w:r>
    </w:p>
    <w:p>
      <w:r>
        <w:t>FR: GE_GERICHTE ATA/607/2010 du 1 septembre 2010</w:t>
      </w:r>
    </w:p>
    <w:p>
      <w:r>
        <w:t>IT: GE_GERICHTE ATA/607/2010 del 1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département soutient que le recours est irrecevable, en se fondant sur l'art. 7 al. 2 RDAge.</w:t>
      </w:r>
    </w:p>
    <w:p>
      <w:r>
        <w:t>Selon cette disposition, le recours contre un refus de dispense d'âge n'est recevable que s'il y a violation d'une prescription légale ou règlementaire. Cette teneur pour le moins insolite, puisqu'un examen négatif au fond aboutirait non pas à un rejet mais à une irrecevabilité, est contraire aux art. 56A LOJ et 61 al. 1 LPA, selon lesquels le recours est ouvert devant le tribunal de céans, juridiction supérieure ordinaire en la matière, pour violation du droit, y compris l'excès et l'abus du pouvoir d'appréciation, ainsi que pour constatation inexacte ou incomplète des faits pertinents. Seule une disposition de droit fédéral ou une loi cantonale formelle aurait pu soustraire en tout ou partie les décisions de refus de dispense d'âge à la compétence rationae materiae du Tribunal administratif (art. 56B LOJ), à l'exclusion d'un simple règlement cantonal. Le recours est donc recevable.</w:t>
      </w:r>
    </w:p>
    <w:p>
      <w:r>
        <w:rPr>
          <w:b/>
        </w:rPr>
        <w:t>E. 3</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w:t>
      </w:r>
    </w:p>
    <w:p>
      <w:r>
        <w:t>- 5/8 - A/1093/2010 (art. 1 HarmoS). Il prévoit notamment que l'élève est scolarisé dès l'âge de 4 ans révolus, le jour de référence étant le 31 juillet (art. 5 al. 1 HarmoS). Les cantons s'engagent à respecter les caractéristiques structurelles de la scolarité obligatoire telle que définie au chapitre III, dont l'art. 5 fait partie, dans un délai maximal de six ans après l'entrée en vigueur de l'accord. Selon l'art. 15 HarmoS, l'assemblée plénière de la conférence suisse de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quatrième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w:t>
      </w:r>
    </w:p>
    <w:p>
      <w:r>
        <w:rPr>
          <w:b/>
        </w:rPr>
        <w:t>E. 4</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- 6/8 - A/1093/2010</w:t>
      </w:r>
    </w:p>
    <w:p>
      <w:r>
        <w:t>Un règlement détermine les conditions d’octroi des dispenses d’âge pour l’admission à l’école (art. 11 al. 1 LIP).</w:t>
      </w:r>
    </w:p>
    <w:p>
      <w:r>
        <w:t>Sur la base de cette délégation, le Conseil d'Etat a édicté le RDAge dont l'art. 1 prévoit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w:t>
      </w:r>
    </w:p>
    <w:p>
      <w:r>
        <w:t>- 7/8 - A/1093/2010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(ATA/497/2010, ATA/498/2010, ATA/499/2010 et ATA/500/2010 du 3 août 2010). Au demeurant, quand bien même la nouvelle réglementation a des incidences sur leur organisation familiale, ils disposent de plus d’une année pour pouvoir trouver des aménagements, à l’instar de l’ensemble des parents d’enfants nés après le 31 août 2007.</w:t>
      </w:r>
    </w:p>
    <w:p>
      <w:r>
        <w:rPr>
          <w:b/>
        </w:rPr>
        <w:t>E. 7</w:t>
      </w:r>
    </w:p>
    <w:p>
      <w:r>
        <w:t>Au vu de ce qui précède, le recours sera rejeté.</w:t>
      </w:r>
    </w:p>
    <w:p>
      <w:r>
        <w:t>Un émolument de CHF 300.- sera mis à la charge des recourants, pris conjointement et solidairement, et aucune indemnité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