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ATA/605/2022 vom 7. Juni 2022</w:t>
      </w:r>
    </w:p>
    <w:p>
      <w:r>
        <w:t>GE Cour de justice, 2022-06-07, FR</w:t>
      </w:r>
    </w:p>
    <w:p>
      <w:r>
        <w:rPr>
          <w:b/>
        </w:rPr>
        <w:t xml:space="preserve">Quelle: </w:t>
      </w:r>
      <w:r>
        <w:t>https://mcp.opencaselaw.ch/entscheid/ge_gerichte_ATA_605_2022</w:t>
      </w:r>
    </w:p>
    <w:p>
      <w:r>
        <w:t>FR: GE_GERICHTE ATA/605/2022 du 7 juin 2022</w:t>
      </w:r>
    </w:p>
    <w:p>
      <w:r>
        <w:t>IT: GE_GERICHTE ATA/605/2022 del 7 giugno 2022</w:t>
      </w:r>
    </w:p>
    <w:p>
      <w:pPr>
        <w:pStyle w:val="Heading2"/>
      </w:pPr>
      <w:r>
        <w:t>Erwägungen</w:t>
      </w:r>
    </w:p>
    <w:p>
      <w:r>
        <w:rPr>
          <w:b/>
        </w:rPr>
        <w:t>E. 12</w:t>
      </w:r>
    </w:p>
    <w:p>
      <w:r>
        <w:t>septembre 1985 - LPA - E 5 10). 2)</w:t>
      </w:r>
    </w:p>
    <w:p>
      <w:r>
        <w:t>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w:t>
      </w:r>
    </w:p>
    <w:p>
      <w:r>
        <w:t>- 8/14 - A/3335/2021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w:t>
      </w:r>
    </w:p>
    <w:p>
      <w:r>
        <w:t>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3) a. En droit administratif genevois, l'art. 15A LPA prévoit que les juges doivent notamment se récuser s'ils ont un intérêt personnel dans la cause (let. a) ; s'ils ont agi dans la même cause à un autre titre, notamment comme membre d'une autorité, comme conseil juridique d'une partie, comme expert, comme témoin ou comme médiateur (let. b) ; s’ils sont conjoints, ex-conjoints, partenaires enregistrés ou ex-partenaires enregistrés d’une partie, de son représentant ou d’une personne qui a agi dans la même cause comme membre de l’autorité précédente ou mènent de fait une vie de couple avec l’une de ces personnes (let. c) ; s’ils sont parents ou alliés en ligne directe ou jusqu’au troisième degré en ligne collatérale d’une partie (let. d) ; s’ils sont parents ou alliés en ligne directe ou au deuxième degré en ligne collatérale d’un représentant d’une partie ou d’une personne qui a agi dans la même cause comme membre de l’autorité précédente (let. e) ;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w:t>
      </w:r>
    </w:p>
    <w:p>
      <w:r>
        <w:t>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w:t>
      </w:r>
    </w:p>
    <w:p>
      <w:r>
        <w:t>- 9/14 - A/3335/2021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4)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w:t>
      </w:r>
    </w:p>
    <w:p>
      <w:r>
        <w:t>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w:t>
      </w:r>
    </w:p>
    <w:p>
      <w:r>
        <w:t>c. Ainsi, même à l'aune de l'art. 30 Cst., si des décisions ou des actes de procédure, se révélant ensuite erronés, peuvent fonder une apparence de prévention, seules les erreurs particulièrement graves des devoirs du magistrat et dénotant en outre objectivement que celui-ci est prévenu, justifient de retenir sa partialité (ATF 138 IV 142 consid. 2.3 ; arrêt du Tribunal fédéral 9C_761/2020 du 8 février 2021 consid. 5.2.2).</w:t>
      </w:r>
    </w:p>
    <w:p>
      <w:r>
        <w:t>d.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 il faut qu'il y ait un lien qui, par son intensité et sa qualité, soit de nature à faire craindre objectivement qu'il influence le juge dans la conduite de la procédure et dans sa décision (ATF 139 I 121 consid. 5 ; 138 I 1 consid. 2.4 ; arrêt du Tribunal fédéral 1B_199/2012 du 13 juillet 2012 consid. 5.1). Ainsi, un avocat qui exerce les fonctions de juge apparaît objectivement partial non seulement lorsque, dans le cadre d'une autre procédure, il représente ou a représenté l'une des parties à la procédure dans laquelle il siège,</w:t>
      </w:r>
    </w:p>
    <w:p>
      <w:r>
        <w:t>- 10/14 - A/3335/2021 mais également lorsqu'il représente ou a représenté récemment la partie adverse de cette partie (ATF 139 I 121 consid. 5.1 ; 138 I 406 consid. 5.3 ; 135 I</w:t>
      </w:r>
    </w:p>
    <w:p>
      <w:r>
        <w:rPr>
          <w:b/>
        </w:rPr>
        <w:t>E. 14</w:t>
      </w:r>
    </w:p>
    <w:p>
      <w:r>
        <w:t>consid. 4.1 à 4.3). En revanche, un juge n'est pas récusable du simple fait qu'il aurait précédemment représenté des intérêts opposés à la partie en cause (ATF 138 I 1 consid. 2.3). Il n'y a pas non plus lieu de requérir la récusation d'un membre d'un tribunal du seul fait que l'avocat d'une des parties exerce, dans d'autres causes, en tant que juge suppléant au sein de cette même autorité ou d'une instance de recours, sauf en cas de circonstances spécifiques fondant une apparence de prévention et un risque de parti pris de la part d'un des membres du tribunal (ATF 139 I 121 consid. 5.4 ; 133 I 1 consid. 6.4.2 à 6.4.4).</w:t>
      </w:r>
    </w:p>
    <w:p>
      <w:r>
        <w:t>e. Selon la jurisprudence, les seuls liens professionnels ou collégiaux entre deux personnes ne suffisent pas, en l'absence d'autres indices de partialité, à fonder une obligation de récusation (ATF 141 I 78 consid. 3.3 ; 139 I 121 consid. 5.3 ; 133 I 1 consid. 6.4 ; arrêts du Tribunal fédéral 1B_420/2020 du 28 octobre 2020 consid. 3.1 ; 1B_587/2019 du 21 janvier 2020 consid. 3.2). 5) a. Un avocat qui fonctionne comme juge apparaît prévenu lorsqu’il est encore lié à l’une des parties par un mandat ou lorsque celle-ci l’a mandaté à plusieurs reprises de telle manière qu’il existe entre eux une forme de relation durable. Cette conclusion est indépendante du fait que le mandat est ou non en relation avec l’affaire à juger (ATF 140 III 221 consid. 4.3.1 ; 139 III 433 consid. 2.1.4 ; 138 I 406 consid. 5.3 et 5.4 ; 135 I 14 consid. 4.1). Dans de telles hypothèses, le Tribunal fédéral a conclu à l’existence d’une apparence de prévention quelles que soient les autres circonstances du cas (ATF 139 III 433 c. 2.1.4).</w:t>
      </w:r>
    </w:p>
    <w:p>
      <w:r>
        <w:t>b. Une apparence de prévention existe aussi lorsque ce n’est pas le juge suppléant qui est lié à une partie par un mandat ou qui a été lié peu auparavant par plusieurs mandats créant une relation durable, mais un autre avocat de son étude. En effet, le mandant s’attend à une solidarité non seulement de la part de son interlocuteur au sein de l’étude, mais de l’ensemble de celle-ci. Cette conception globale correspond aussi au droit de la profession d’avocat en matière de conflit d’intérêts, dans lequel l’ensemble des avocats de l’étude sont traités comme un avocat (ATF 140 III 221 consid. 4.3.2 ; 139 III 433 c. 2.1.5). 6) a. Selon l'art. 12 let. c LLCA, l'avocat – parmi d'autres règles professionnelles – évite tout conflit entre les intérêts de son client et ceux des personnes avec lesquelles il est en relation sur le plan professionnel ou privé.</w:t>
      </w:r>
    </w:p>
    <w:p>
      <w:r>
        <w:t>b. L'incapacité de représentation affectant un avocat rejaillit sur ses associés (ATF 145 IV 218 consid. 2.2 ; 135 II 145 consid. 9.1). Le problème de la double représentation peut donc survenir quand les parties sont représentées par des avocats distincts, mais pratiquant dans la même étude, en qualité d'associés (arrêt du Tribunal fédéral 2C_45/2016 du 11 juillet 2016 consid. 2.2). L'interdiction des conflits d'intérêts ne se limite ainsi pas à la personne même de l'avocat, mais</w:t>
      </w:r>
    </w:p>
    <w:p>
      <w:r>
        <w:t>- 11/14 - A/3335/2021 s'étend à l'ensemble de l'étude ou du groupement auquel il appartient.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nombreuses références citées). 7)</w:t>
      </w:r>
    </w:p>
    <w:p>
      <w:r>
        <w:t>En l'espèce, les recourants n'invoquant pas le fait que l'associé du magistrat concerné soit impliqué dans un litige civil où il est opposé à leur avocat – ce à juste titre, puisque le grief correspondant serait à l'évidence tardif, l'association de MM. D______ et F______ étant ancienne, et le procès opposant un client de ce dernier à un client de l'avocat des recourants étant ouvert depuis plusieurs années. Selon l'acte de recours, les recourants reprochent uniquement à M. D______ d'être l'associé d'un avocat ayant tenu dans le cadre d'un procès sans rapport avec celui d'espèce des propos désobligeants envers leur propre avocat.</w:t>
      </w:r>
    </w:p>
    <w:p>
      <w:r>
        <w:t>Or, à l'exception du cas précité du juge suppléant qui est lié à une partie par un mandat ou qui a été lié peu auparavant par plusieurs mandats créant une relation durable, la jurisprudence sur les conflits d'intérêts, et donc sur les règles déontologiques propres à la profession d'avocat, n'est pas transposable directement à la récusation des magistrats. S'il en allait ainsi, en cas de récusation d'un juge, tous les autres juges du même tribunal devraient se récuser, ce qui serait en contradiction tant avec le texte légal (selon lequel le rapport d'amitié ou d'inimitié avec une partie ou son représentant doit être le fait du magistrat) qu'avec la jurisprudence (selon laquelle il faut qu'il y ait entre le juge et une personne intéressée à l'issue de la procédure un lien qui, par son intensité et sa qualité, soit de nature à faire craindre objectivement qu'il influence le juge dans la conduite de la procédure et dans sa décision, d'une part). Même si elle comporte un aspect objectif – puisque la seule apparence de prévention peut emporter l'obligation de se déporter –, la récusation est liée à la personne du juge puisque l'impartialité se définit comme l'absence de préjugé ou de parti pris (ACEDH Ramos Nunes de Carvalho e Sá c. Portugal, Grande Chambre, du 6 novembre 2018, req. n° 55391/13, n. 145) et concerne la disposition interne du membre de l'autorité à l'égard des participants à la procédure (Jacques DUBEY, Droits fondamentaux, vol. II, 2018, n. 4259 ; Alfred KÖLZ/Isabelle HÄNER/Martin BERTSCHI, Verwaltungsverfahren und Verwaltungsrechtspflege des Bundes, 3ème éd., 2013, n. 195). Le Tribunal fédéral retient ainsi, comme déjà exposé, que la seule collégialité entre les membres d'un tribunal n'entraîne en principe aucun devoir de récusation.</w:t>
      </w:r>
    </w:p>
    <w:p>
      <w:r>
        <w:t>Il convient donc d'examiner, s'agissant de propos tenus par un avocat autre que le magistrat mais qui est son associé au sein d'un cabinet d'avocats, s'il existe en l'espèce des raisons objectives que l'avocat juge suppléant aurait de ce fait un parti pris à l'encontre des recourants. Le TAPI l'a nié, en indiquant que l'on ne</w:t>
      </w:r>
    </w:p>
    <w:p>
      <w:r>
        <w:t>- 12/14 - A/3335/2021 saurait considérer « que la simple connaissance de l'existence et de l'expression d'une forme de ressentiment entre deux avocats s'opposant dans une procédure, entraîne de la part de l'associé de l'un d'eux un sentiment d'inimitié à l'encontre du conseil de l'adverse partie de son associé ».</w:t>
      </w:r>
    </w:p>
    <w:p>
      <w:r>
        <w:t>Il n'est pas contesté que durant l'instruction de la cause, M. D______ n'a jamais rien fait ou dit qui puisse témoigner fût-ce d'une apparence de prévention à l'encontre des recourants ou de leur avocat. Il a certes été mis en copie de l'échange de courriels entre MM. F______ et B______ – toutefois à l'initiative de ce dernier – mais n'a fait aucun commentaire ni manifesté aucune réaction spécifique à cet échange. Contrairement à ce qu'allèguent les recourants, le simple fait qu'il ne se soit pas spécifiquement prononcé à cet égard dans ses écritures ne saurait être interprété comme une approbation des dires de son associé. Il sera rappelé que selon la jurisprudence, un rapport d'inimitié entre le juge et une partie ou son mandataire ne peut constituer un motif de récusation que dans des circonstances spéciales, à n'admettre qu'avec retenue ; or on se trouve ici dans un cas de possible inimitié non entre le juge et une partie, mais entre l'associé du juge et l'avocat d'une partie, ce qui rend la possibilité de biais encore plus ténue.</w:t>
      </w:r>
    </w:p>
    <w:p>
      <w:r>
        <w:t>Dès lors, comme l'a retenu à juste titre la délégation des juges du TAPI, à défaut de circonstances particulières démontrant que le juge aurait fait preuve de parti pris, ou manifesté un quelconque assentiment par rapport aux propos peu amènes tenus par son associé, on ne peut admettre une apparence de prévention du magistrat visé à l'encontre de l'avocat des recourants.</w:t>
      </w:r>
    </w:p>
    <w:p>
      <w:r>
        <w:t>Il découle de ce qui précède que le recours est infondé sur ce point.</w:t>
      </w:r>
    </w:p>
    <w:p>
      <w:r>
        <w:t>Cela étant, le dispositif de la décision attaquée doit être réformé, dès lors que c'est à tort que l'avocat des recourants a été désigné comme le requérant et s'est vu mettre à charge l'émolument de procédure de CHF 500.- en lieu et place de ses mandants. Le recours sera dès lors très partiellement admis et le dispositif du jugement attaqué modifié en ce sens, avec correction de l'erreur de date également contenue au ch. 1. 8)</w:t>
      </w:r>
    </w:p>
    <w:p>
      <w:r>
        <w:t>Vu l'issue du litige, un émolument de CHF 1'000.- sera mis à la charge solidaire des recourants qui succombent pour l'essentiel (art. 87 al. 1 LPA), et aucune indemnité de procédure ne sera allouée (art. 87 al. 2 LPA).</w:t>
      </w:r>
    </w:p>
    <w:p>
      <w:r>
        <w:t>* * * * *</w:t>
      </w:r>
    </w:p>
    <w:p>
      <w:r>
        <w:t>- 13/14 - A/3335/2021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