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ATA/604/2020 vom 18. Juni 2020</w:t>
      </w:r>
    </w:p>
    <w:p>
      <w:r>
        <w:t>GE Cour de justice, 2020-06-18, FR</w:t>
      </w:r>
    </w:p>
    <w:p>
      <w:r>
        <w:rPr>
          <w:b/>
        </w:rPr>
        <w:t xml:space="preserve">Quelle: </w:t>
      </w:r>
      <w:r>
        <w:t>https://mcp.opencaselaw.ch/entscheid/ge_gerichte_ATA_604_2020</w:t>
      </w:r>
    </w:p>
    <w:p>
      <w:r>
        <w:t>FR: GE_GERICHTE ATA/604/2020 du 18 juin 2020</w:t>
      </w:r>
    </w:p>
    <w:p>
      <w:r>
        <w:t>IT: GE_GERICHTE ATA/604/2020 del 18 giugno 2020</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12 juin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w:t>
      </w:r>
    </w:p>
    <w:p>
      <w:r>
        <w:t>- 7/10 - A/1501/2020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w:t>
      </w:r>
    </w:p>
    <w:p>
      <w:r>
        <w:t>Par crime au sens de l’art. 75 al. 1 let. h LEI, il faut entendre une infraction passible d’une peine privative de liberté de plus de trois ans (art. 10 al. 2 CP ; ATA/220/2018 du 8 mars 2018 consid. 4a ; ATA/997/2016 du 23 novembre 2016 consid. 4a), ce qui est notamment le cas de la tentative de vol (art. 22 cum 139 ch. 1 CP) ainsi que du brigandage (art. 140 CP).</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t>Conformément à l’art. 76 al. 4 LEI, les démarches nécessaires à l’exécution du renvoi ou de l’expulsion doivent être entreprises sans tarder.</w:t>
      </w:r>
    </w:p>
    <w:p>
      <w:r>
        <w:t>La durée de la détention doit être proportionnée par rapport aux circonstances d’espèce (arrêts du Tribunal fédéral 2C_18/2016 du 2 février 2016 consid. 4.2 ; 2C_218/2013 du 26 mars 2013 consid. 2.3).</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- 8/10 - A/1501/2020</w:t>
      </w:r>
    </w:p>
    <w:p>
      <w:r>
        <w:t>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w:t>
      </w:r>
    </w:p>
    <w:p>
      <w:r>
        <w:t>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4)</w:t>
      </w:r>
    </w:p>
    <w:p>
      <w:r>
        <w:t>En l’espèce, et ainsi que l’a admis le TAPI, les conditions de détention administrative sont remplies, point qui n'est pas contesté par le recourant, l'intimé n'ayant quant à lui pas interjeté recours.</w:t>
      </w:r>
    </w:p>
    <w:p>
      <w:r>
        <w:t>Le seul point litigieux est la durée de la détention administrative en cause au regard du délai dans lequel l'expulsion pourra vraisemblablement être exécutée.</w:t>
      </w:r>
    </w:p>
    <w:p>
      <w:r>
        <w:t>La durée de trois mois, telle que fixée initialement par le commissaire de police, a été ramenée à six semaines par le TAPI. Or, les hypothèses émises par ce dernier sont aujourd'hui infirmées, une réadmission vers la France ayant été refusée par les autorités françaises – ce qui rend les souhaits manifestés par l'intimé inopérants –, et la possibilité d'un renvoi vers l’Algérie le 22 juin 2020 n'existant plus puisque le vol a été annulé, et ne pourra selon les informations transmises par le SEM, avoir lieu, au plus tôt, que le 11 août 2020.</w:t>
      </w:r>
    </w:p>
    <w:p>
      <w:r>
        <w:t>Dans ces conditions, il se justifie de rétablir la durée de la détention à trois mois. En cas de revirement des autorités françaises, l'intimé pourrait évidemment être renvoyé en France avant cette date. Quant à l'impossibilité du renvoi que l'intimé allègue à demi-mot dans sa réponse au recours, elle ne peut être invoquée à ce stade dès lors que le recours joint n'existe pas en procédure administrative genevoise, et que le seul objet du recours porte donc sur la durée de la détention. Or, une durée de six semaines est, en l'état, manifestement insuffisante pour permettre l'exécution du renvoi de l'intimé.</w:t>
      </w:r>
    </w:p>
    <w:p>
      <w:r>
        <w:t>Le recours sera en conséquence admis, la détention administrative de l'intimé étant ordonnée pour une durée de trois mois, soit jusqu'au 28 août 2020. 5)</w:t>
      </w:r>
    </w:p>
    <w:p>
      <w:r>
        <w:t>La procédure étant gratuite (art. 12 du règlement sur les frais, émoluments et indemnités en procédure administrative du 30 juillet 1986 - RFPA - E 5 10.03), aucun émolument de procédure ne sera perçu (art. 87 al. 1 LPA). Aucune</w:t>
      </w:r>
    </w:p>
    <w:p>
      <w:r>
        <w:t>- 9/10 - A/1501/2020 indemnité de procédure ne sera allouée, n'ayant pas été demandée et la police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