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ATA/604/2013 vom 11. September 2013</w:t>
      </w:r>
    </w:p>
    <w:p>
      <w:r>
        <w:t>GE Cour de justice, 2013-09-11, FR</w:t>
      </w:r>
    </w:p>
    <w:p>
      <w:r>
        <w:rPr>
          <w:b/>
        </w:rPr>
        <w:t xml:space="preserve">Quelle: </w:t>
      </w:r>
      <w:r>
        <w:t>https://mcp.opencaselaw.ch/entscheid/ge_gerichte_ATA_604_2013</w:t>
      </w:r>
    </w:p>
    <w:p>
      <w:r>
        <w:t>FR: GE_GERICHTE ATA/604/2013 du 11 septembre 2013</w:t>
      </w:r>
    </w:p>
    <w:p>
      <w:r>
        <w:t>IT: GE_GERICHTE ATA/604/2013 del 11 settembre 2013</w:t>
      </w:r>
    </w:p>
    <w:p>
      <w:pPr>
        <w:pStyle w:val="Heading2"/>
      </w:pPr>
      <w:r>
        <w:t>Erwägungen</w:t>
      </w:r>
    </w:p>
    <w:p>
      <w:r>
        <w:rPr>
          <w:b/>
        </w:rPr>
        <w:t>E. 1</w:t>
      </w:r>
    </w:p>
    <w:p>
      <w:r>
        <w:t>Interjeté le 2 septembre 2013 contre le jugement du TAPI prononcé et notifié le 29 août 2013,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3 septembre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En tous points mal fondé, le recours sera rejeté. Vu la nature du litige, il ne sera pas perçu d’émolument (art. 87 al. 1 LPA ; art. 12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