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ATA/603/2014 vom 29. Juli 2014</w:t>
      </w:r>
    </w:p>
    <w:p>
      <w:r>
        <w:t>GE Cour de justice, 2014-07-29, FR</w:t>
      </w:r>
    </w:p>
    <w:p>
      <w:r>
        <w:rPr>
          <w:b/>
        </w:rPr>
        <w:t xml:space="preserve">Quelle: </w:t>
      </w:r>
      <w:r>
        <w:t>https://mcp.opencaselaw.ch/entscheid/ge_gerichte_ATA_603_2014</w:t>
      </w:r>
    </w:p>
    <w:p>
      <w:r>
        <w:t>FR: GE_GERICHTE ATA/603/2014 du 29 juillet 2014</w:t>
      </w:r>
    </w:p>
    <w:p>
      <w:r>
        <w:t>IT: GE_GERICHTE ATA/603/2014 del 29 luglio 2014</w:t>
      </w:r>
    </w:p>
    <w:p>
      <w:pPr>
        <w:pStyle w:val="Heading2"/>
      </w:pPr>
      <w:r>
        <w:t>Regeste</w:t>
      </w:r>
    </w:p>
    <w:p>
      <w:r>
        <w:t>Résumé: Confirmation d'une décision du SCV refusant l'autorisation d'installer des feux orange de danger sur les véhicules d'une société active dans le domaine de la signalisation routière prise sur la base d'une circulaire du Département fédéral de justice et police datant de 1974, laquelle reste applicable à défaut d'avoir été modifiée ou abrogée et s'impose aux cantons.</w:t>
      </w:r>
    </w:p>
    <w:p>
      <w:pPr>
        <w:pStyle w:val="Heading2"/>
      </w:pPr>
      <w:r>
        <w:t>Erwägungen</w:t>
      </w:r>
    </w:p>
    <w:p>
      <w:r>
        <w:rPr>
          <w:b/>
        </w:rPr>
        <w:t>E. 27</w:t>
      </w:r>
    </w:p>
    <w:p>
      <w:r>
        <w:t>août 2013 ; ATA/381/2013 du 18 juin 2013)</w:t>
      </w:r>
    </w:p>
    <w:p>
      <w:r>
        <w:t>b. Peuvent notamment faire l’objet d’un recours les décisions finales (art. 57 let. a LPA), soit les mesures individuelles et concrètes prises par l’autorité dans les cas d’espèce fondées sur le droit public fédéral, cantonal et communal au sens de l’art. 4 al. 1 LPA, qui mettent fin à une procédure pour leur récipiendaire. L’acte de recours contient, sous peine d’irrecevabilité, la désignation de la décision attaquée et les conclusions du recourant, ainsi que l’exposé des motifs et l’indication des moyens de preuve (art. 65 al. 1 et 2 LPA). La juridiction administrative applique le droit d’office et ne peut aller au-delà des conclusions des parties, sans pour autant être liée par les motifs invoqués (art. 69 al. 1 LPA).</w:t>
      </w:r>
    </w:p>
    <w:p>
      <w:r>
        <w:t>L’objet du litige est principalement défini par l’objet du recours (ou objet de la contestation) et les conclusions du recourant et accessoirement par les griefs ou motifs qu’il invoque. L’objet du litige correspond objectivement à l’objet de la décision attaquée (ATF 136 V 362 consid. 3.4 et 4.2 ; arrêt du Tribunal fédéral 2C_581/2010 du 28 mars 2011 consid. 1.5 ; ATA/751/2013 du 12 novembre 2013), qui délimite son cadre matériel admissible.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(ATA/790/2013 du 3 décembre 2013 ; ATA/18/2013 du 8 janvier 2013 ; ATA/560/2006 du 17 octobre 2006). Ainsi, si un recourant est libre de contester tout ou partie de la décision attaquée, il ne peut pas prendre, dans son mémoire de recours, des conclusions qui sortent du cadre des questions traitées dans la procédure antérieure (ATA/18/2013 du 8 janvier 2013 ; ATA/163/2010 du 9 mars 2010 ; ATA/503/2009 du 6 octobre 2009).</w:t>
      </w:r>
    </w:p>
    <w:p>
      <w:r>
        <w:t>c. En l’espèce, la recourante allègue que le TAPI aurait dû examiner si les conditions en vue de l’octroi de l’autorisation d’équiper ses véhicules étaient réalisées et ne pas se limiter à l’examen du grief d’égalité de traitement soulevé.</w:t>
      </w:r>
    </w:p>
    <w:p>
      <w:r>
        <w:t>Il ressort de son acte de recours au TAPI que A______ a conclu à ce qu’une « suite favorable » soit donnée à sa demande consistant à équiper ses véhicules de feux orange de danger, faisant ensuite grief au SCV d’avoir violé le principe d’égalité de traitement à différents égards. Si les conclusions de la recourante sont</w:t>
      </w:r>
    </w:p>
    <w:p>
      <w:r>
        <w:t>- 11/20 - A/2641/2013 certes formulées de manière maladroite, leur portée ne saurait être celle que le TAPI leur a donné, ce d’autant qu’il ressort des écritures de A______ qu’elle a indiqué que son activité, à savoir la pose de la signalisation routière de jour comme de nuit, justifiait qu’il soit fait droit à sa requête, ce qui supposait qu’elle contestait à tout le moins également l’application de la réglementation pertinente faite par le SCV, ce que le TAPI aurait dû examiner, lequel n’était pas lié par les motifs invoqués. Les premiers juges ne pouvaient ainsi se contenter d’examiner le litige sous l’angle de la violation du principe de l’égalité de traitement, étant précisé que devant le TAPI, la recourante comparaissait en personne.</w:t>
      </w:r>
    </w:p>
    <w:p>
      <w:r>
        <w:t>Dès lors que la chambre de céans dispose du même pouvoir de cognition que le TAPI (art. 61 LPA ; ATF 137 I 195 consid. 2.3.2 p. 197 s ; ATA/444/2014 du 17 juin 2014) et que le dossier, complet, lui permet de trancher le litige, elle procédera à l’examen de l’ensemble des griefs soulevés par la recourante, qui ne dépassent pas le cadre de l’objet du litige, étant précisé qu’un renvoi de la cause aux premiers juges irait à l’encontre du principe de l’économie de procédure (ATA/537/2013 du 27 août 2013). 3) a. Aux termes de l’art. 5 al. 1 Cst., le droit est la base et la limite de l’activité de l’État. Le principe de la légalité, sous réserve de sa signification particulière en droit pénal et en droit fiscal, n’est pas un droit constitutionnel individuel, mais un principe constitutionnel, dont la violation ne peut être invoquée qu’en lien avec celle, notamment, du principe de la séparation des pouvoirs, de l’interdiction de l’arbitraire ou d’un droit fondamental spécial (ATF 129 I 161 consid. 2.1 p. 163 ; arrêt du Tribunal fédéral 1C_35/2013 du 16 mai 2014 consid. 5).</w:t>
      </w:r>
    </w:p>
    <w:p>
      <w:r>
        <w:t>b. Le principe de la séparation des pouvoirs interdit à un organe de l’État d’empiéter sur les compétences d’un autre organe ; en particulier, il interdit au pouvoir exécutif d’édicter des règles de droit, si ce n’est dans le cadre d’une délégation valablement conférée par le législateur (ATF 134 I 322 consid. 2.2 p. 326 ; 130 I 1 consid. 3.1 p. 5). En droit fédéral, l’art. 164 al. 1 Cst. prévoit que doivent faire l’objet d’une législation formelle les règles de droit importantes, soit en particulier les dispositions fondamentales relatives à la restriction des droits constitutionnels (let. b) et aux droits et obligations des personnes (let. c). Une loi formelle peut prévoir une délégation législative, à moins que la Constitution ne l’exclue (art. 164 al. 2 Cst.).</w:t>
      </w:r>
    </w:p>
    <w:p>
      <w:r>
        <w:t>c. Selon l’art. 48 al. 1 de la loi sur l’organisation du gouvernement et de l’administration du 21 mars 1997 (LOGA – RS 172.010), le Conseil fédéral peut déléguer aux départements la compétence d’édicter des règles de droit, en prenant en compte la portée de la norme envisagée. Une indication expresse en ce sens, dans une loi au sens formel sur laquelle la Conseil fédéral fonde sa compétence, n’est pas nécessaire (art. 48 al. 2 a contrario LOGA ; arrêts du Tribunal fédéral 1C_35/2013 du 16 mai 2014 consid. 6.1.2 et 2A.377/2012 du 29 janvier 2003 consid. 2.3.2).</w:t>
      </w:r>
    </w:p>
    <w:p>
      <w:r>
        <w:t>- 12/20 - A/2641/2013</w:t>
      </w:r>
    </w:p>
    <w:p>
      <w:r>
        <w:t>d. En règle générale, les instructions, les circulaires et les directives administratives, ou, en d’autres termes, les ordonnances administratives, n’ont pas force de loi et se distinguent ainsi des ordonnances législatives, lesquelles s’adressent aux administrés, à qui elles accordent des droits ou imposent des obligations, exerçant ainsi des effets dits « externes ». Les ordonnances administratives s’adressent en revanche exclusivement aux organes de l’administration et constituent des directives en vue de garantir l’application uniforme du droit, ne conférant pas de droit ni ne créant d’obligations à la charge des administrés (ATF 136 V 295 consid. 5.7 p. 308 ; 128 I 167 consid. 4.3 p. 171 ; arrêt du Tribunal fédéral 8C_860/2009 du 22 septembre 2010 consid. 4.2). 4) a. Au titre des règles de la circulation, l’art. 40 de la loi fédérale sur la circulation routière du 19 décembre 1958 (LCR - RS 741.01) détermine l’utilisation des signaux avertisseurs. Ainsi, si la sécurité de la circulation l’exige, le conducteur avertira les autres usagers de la route, les signaux avertisseurs inutiles ou excessifs devant être évités et l’emploi du signal avertisseur en guise d’appel étant interdit.</w:t>
      </w:r>
    </w:p>
    <w:p>
      <w:r>
        <w:t>L’art. 29 al. 1 de l’ordonnance sur les règles de la circulation routière du 13 novembre 1962 (OCR - RS 741.11) détaille cette disposition, en prévoyant que le conducteur se comportera de manière à ne pas devoir donner des signaux avertisseurs acoustiques ou des signaux optiques. Il n’a le droit de donner de tels signaux que lorsque la sécurité du trafic l’exige, l’utilisation des feux de danger selon l’art. 110 al. 3 let. b OETV étant régie par la même règle.</w:t>
      </w:r>
    </w:p>
    <w:p>
      <w:r>
        <w:t>b. L’art. 8 al. 1 et 2 LCR habilite le Conseil fédéral à édicter des prescriptions sur la construction et l’équipement des véhicules automobiles et leurs remorques. En particulier, il prend les mesures indiquées en vue de sauvegarder la sécurité de la circulation et d’empêcher le bruit, la poussière, la fumée, l’odeur ainsi que les autres effets nuisibles ou incommodants qui résultent de l’emploi des véhicules. L’art. 106 al. 1 LCR prévoit de manière générale que le Conseil fédéral arrête les prescriptions nécessaires à l’application de la loi et désigne les autorités fédérales compétentes pour son exécution et peut autoriser l’office fédéral des routes (ci- après : OFROU) à régler les modalités.</w:t>
      </w:r>
    </w:p>
    <w:p>
      <w:r>
        <w:t>c. L’OETV, fondée notamment sur les dispositions susmentionnées de la LCR, est entrée en vigueur le 1er octobre 1995, abrogeant l’ancienne ordonnance sur la construction et l’équipement des véhicules routiers du 27 août 1969 (OCE – RS 741.41 ; RO 1969 841). L’art. 110 OETV établit la liste des dispositifs d’éclairage facultatifs autorisés sur un véhicule. Lorsque l’autorité d’immatriculation a donné son aval par une inscription dans le permis de circulation, les véhicules qui présentent un danger difficilement reconnaissable pour les autres usagers de la route et les véhicules qui les accompagnent, de même que les véhicules prévus et équipés pour être munis, à titre temporaire, d’engins supplémentaires d’une largeur supérieure à 3 m, peuvent être équipés de feux</w:t>
      </w:r>
    </w:p>
    <w:p>
      <w:r>
        <w:t>- 13/20 - A/2641/2013 orange de danger (art. 110 al. 3 let. b OETV). L’art. 220 al. 1 OETV confie au département fédéral de l’environnement, des transports, de l’énergie et de la communication (ci-après : DETEC) le soin d’édicter des instructions pour l’application de l’OETV, l’OCR contenant une disposition similaire (art. 97 al. 1 OCR).</w:t>
      </w:r>
    </w:p>
    <w:p>
      <w:r>
        <w:t>Quant à l’art. 27 al. 4 let. c ch. 2 OCE, il prévoyait que les véhicules présentant un danger difficilement reconnaissable pour les autres usagers de la route pouvaient être équipés de feux orange de danger. Le DFJP pouvait établir des instructions relatives à l’application de l’OCE et déléguer ces attributions à la division fédérale de la police (art. 84 al. 1 OCE).</w:t>
      </w:r>
    </w:p>
    <w:p>
      <w:r>
        <w:t>d. Le 29 septembre 1995, le DFJP a adopté une circulaire contenant les commentaires et instructions nécessaires, notamment pour l’application de l’OETV. En annexe, cette circulaire contient une liste des décisions et instructions du DFJP rendues en application de l’ancienne OCE, lesquelles restent valables sous le régime de l’OETV. Ainsi, pour l’application de l’art. 110 al. 3 let. b OETV, l’annexe effectue un renvoi à la circulaire du DFJP du 12 juin 1974 et à la notice qui l’accompagne, laquelle a été remaniée le 7 juin 1989, ces textes ayant été établis en vue de l’interprétation de l’art. 27 al. 4 OCE.</w:t>
      </w:r>
    </w:p>
    <w:p>
      <w:r>
        <w:t>e. La circulaire du DFJP du 12 juin 1974 comporte une liste des cas dans lesquels les feux orange de danger peuvent être autorisés, « s’ils sont vraiment nécessaires ». Il en va ainsi des véhicules du service hivernal (ch. 1.1), des véhicules spéciaux en raison de leurs dimensions (ch. 1.2), de ceux utilisés lors de transports spéciaux en raison de la dimension de leur chargement (ch. 1.3), des véhicules convoyant les véhicules spéciaux et les transports spéciaux (ch. 1.4), des véhicules de dépannage effectuant souvent des remorquages sur les autoroutes et semi-autoroutes (ch. 1.5), de ceux de la police (ch. 1.7), de la protection civile en cas de catastrophe (ch. 1.8) ou de l’armée (ch. 1.9).</w:t>
      </w:r>
    </w:p>
    <w:p>
      <w:r>
        <w:t>Tel est également le cas des véhicules servant à des usages spéciaux (ch. 1.6), qui, en raison de leur mode d’utilisation, présentent un danger particulier et imprévisible pour les autres usagers de la route, à savoir : les machines de travail circulant lentement (par exemple les balayeuses et les machines servant au marquage de la chaussée), ainsi que tous les véhicules des services d’entretien des autoroutes ; les véhicules qui, en dérogation aux règles générales de la circulation, doivent fréquemment circuler au milieu ou sur le côté gauche de la chaussée (par exemple ceux servant au nettoyage de la voie ferrée, au montage ou au nettoyage des lignes aériennes de contact) ; les véhicules utilisés en cas de catastrophes qui, lors d’interventions urgentes, sont souvent stationnés de manière dangereuse pour le trafic (par exemple les véhicules du service du feu, du service de lutte contre les hydrocarbures ou du service de santé). L’inscription au permis de circulation doit mentionner que les feux ne peuvent être utilisés que lorsque le véhicule est en service et aussi longtemps qu’il est nécessaire de mettre en garde les autres</w:t>
      </w:r>
    </w:p>
    <w:p>
      <w:r>
        <w:t>- 14/20 - A/2641/2013 usagers de la route. Dans les autres cas que ceux mentionnés, une autorisation d’équiper de feux orange de danger ne peut être délivrée qu’avec l’accord des autorités fédérales. En tout état, une telle autorisation doit être refusée dans les cas suivants : les machines de travail qui ne sont pas utilisées sur les autoroutes, les semi-autoroutes et les routes principales hors des agglomérations, les véhicules servant à vidanger et à nettoyer les canalisations, les véhicules destinés à l’enlèvement des ordures ou encore les voitures de réparation des entreprises électriques.</w:t>
      </w:r>
    </w:p>
    <w:p>
      <w:r>
        <w:t>Pour éviter une utilisation abusive des feux orange de danger, la circulaire renvoie à la notice annexée, dans laquelle sont exposés les principes ayant trait à leur usage.</w:t>
      </w:r>
    </w:p>
    <w:p>
      <w:r>
        <w:t>f. La notice concernant les feux orange de danger et les feux clignotants orange d’avertissement de l’office fédéral de la police, telle que modifiée le 7 juin 1989, prévoit qu’un véhicule ne peut être équipé d’un feu orange de danger que si l’autorité compétente l’a autorisé en portant une inscription correspondante dans le permis de circulation (ch. 1.1). Le feu orange de danger doit être enclenché si le véhicule roulant constitue un danger particulier et non prévisible pour les autres usagers de la route, par exemple en raison de ses dimensions, de son mode de travail ou de ses manœuvres spéciales dans la circulation. Lorsque le véhicule est en stationnement, ce feu doit être déclenché dans tous les cas, son utilisation n’étant pas autorisée pour garantir provisoirement la sécurité des lieux. Si, pour effectuer des travaux, un véhicule doit être stationné d’une manière entravant la circulation, ses feux clignotants doivent être enclenchés jusqu’au moment où sa présence est signalée au moyen de signaux de panne, de lampes portatives à feu clignotant ou de cônes de balisage (ch. 2.1). Les signaux avertisseurs inutiles ou excessifs, y compris les feux orange de danger, les feux clignotants orange d’avertissement et les feux clignotants, sont interdits (ch. 3). Le feu orange de danger ne donne aucun privilège au conducteur dans la circulation et a pour seul but d’avertir les autres usagers d’un danger particulier et non prévisible (ch. 4). Les conducteurs de véhicules spéciaux et de transports spéciaux, ainsi que des véhicules servant à la construction, à l’entretien et au nettoyage des routes peuvent déroger, pour de justes motifs, à condition d’observer des mesures de sécurité suffisantes, aux règles de la circulation ainsi qu’aux obligations indiquées par des signaux ou des marques. L’enclenchement des feux orange de danger peut aussi faire partie des mesures de sécurité « suffisantes », si le véhicule en mouvement présente un danger particulier et non prévisible pour les autres usagers de la route (ch. 5).</w:t>
      </w:r>
    </w:p>
    <w:p>
      <w:r>
        <w:t>g. En réponse à une motion concernant l’autorisation des gyrophares orange pour toutes les dépanneuses, déposée par le conseiller national Ulrich GIEZENDANNER le 16 mars 2010 (objet n° 10.3111), le Conseil fédéral s’est exprimé au sujet de la circulaire du DFJP du 12 juin 1974, édictée au regard</w:t>
      </w:r>
    </w:p>
    <w:p>
      <w:r>
        <w:t>- 15/20 - A/2641/2013 des conditions de circulation et du trafic ayant cours au moment de son adoption. À cette époque, il était en particulier considéré que les feux de danger ne devaient être utilisés que s’ils étaient impérativement nécessaires, une multitude de signaux visuels étant de nature à atténuer la vigilance des conducteurs. Bien que ce principe fût encore d’actualité, le contexte sécuritaire avait évolué, ce qui n’était pas sans incidence sur l’utilisation de ces feux. Tel était en particulier le cas pour le dépannage de véhicules lourds, lors duquel la différence de vitesse entre le trafic en mouvement et la dépanneuse constituait un sérieux problème, qui se rencontrait sur tous les types de routes, notamment en raison de la densité du trafic. Les risques étaient également importants pour les personnes s’afférant au dépannage, qui devaient souvent franchir la voie de circulation. Dans ce contexte, la circulaire du DFJP, qui ne tenait pas compte de ces éléments, devait être modifiée, en ciblant non seulement les dépanneuses, mais également les véhicules des services d’entretien des routes. Au préalable, il fallait mener une étude en vue de déterminer si la sécurité pouvait être renforcée par l’usage de feux de danger et s’il ne fallait pas prévoir une obligation, plutôt qu’une autorisation, d’utiliser de dispositif. Le Conseil fédéral était par conséquent d’accord avec le principe du réexamen de l’utilisation des feux de danger et, le cas échéant, l’adaptation des bases juridiques aux nouvelles conditions, sans que la motion ne soit l’outil adapté à cette fin. Celle-ci étant restée en suspens pendant deux ans, elle a été classée le 16 mars 2012. 5)</w:t>
      </w:r>
    </w:p>
    <w:p>
      <w:r>
        <w:t>En l’espèce, la recourante allègue que l’autorisation de placer des feux orange de danger devait lui être octroyée, l’autorité intimée ayant procédé à une mauvaise interprétation de l’art. 110 al. al. 3 let. b OETV, dont les directives d’application étaient obsolètes.</w:t>
      </w:r>
    </w:p>
    <w:p>
      <w:r>
        <w:t>a. S’il est vrai que la circulaire du DFJP s’adresse aux autorités cantonales en charge de l’application de la législation sur la circulation routière et sert à l’interprétation uniforme de celle-ci, ainsi qu’à orienter l’exercice du pouvoir d’appréciation de l’administration, elle ne se réduit toutefois à ces fonctions, ce qui ressort d’ailleurs déjà, s’agissant de prescriptions en matière de signaux avertisseurs spéciaux, des dispositions de délégation susmentionnées, qui ne se contentent pas d’habiliter l’administration à édicter des règles pour la guides dans sa pratique. Au contraire, en tant qu’elle concerne l’équipement de véhicules de feux orange de danger, la circulaire du DFJP déploie des effets externes et est opposable aux sujets de droit qu’elle concerne, de sorte qu’elle revêt un caractère normatif. Elle n’a ainsi pas valeur de lignes directrices, mais de prescriptions impératives, lesquelles lient le SCV dans le cadre de l’octroi de l’autorisation d’équiper les véhicules de feux orange de danger.</w:t>
      </w:r>
    </w:p>
    <w:p>
      <w:r>
        <w:t>Le fait qu’elle ait été qualifiée d’obsolète par le Conseil fédéral à l’occasion de sa réponse à une motion parlementaire n’y change rien et ne dispense pas les autorités de l’appliquer. Comme l’a d’ailleurs expliqué le représentant du SCV, ce</w:t>
      </w:r>
    </w:p>
    <w:p>
      <w:r>
        <w:t>- 16/20 - A/2641/2013 qui ressort également de la réponse du Conseil fédéral à la motion parlementaire susmentionnée, même si une révision de cette circulaire était envisagée, elle restait néanmoins en vigueur, dans l’attente de sa modification formelle, voire de son abrogation.</w:t>
      </w:r>
    </w:p>
    <w:p>
      <w:r>
        <w:t>Il importe également peu que la circulaire en question se fonde sur l’OCE, abrogée par l’entrée en vigueur de l’OETV, ou qu’elle ait été établie par le DFJP, au lieu de l’OFROU, ce qui résulte de la réorganisation de l’administration fédérale. En effet, l’OETV, par le biais de la circulaire du 29 septembre 1995, renvoie expressément à celle du DFJP et à la notice qui l’accompagne s’agissant de l’application de l’art. 110 al. 3 let. b OETV, dont la teneur est en tous points identique à celle de l’ancien art. 27 al. 4 let. c ch. 2 OCE.</w:t>
      </w:r>
    </w:p>
    <w:p>
      <w:r>
        <w:t>Il en résulte que le SCV devait se fonder sur la circulaire du DJFP pour l’application de l’art. 110 al. 3 let. b OETV et ne pouvait s’en écarter, ce d’autant qu’elle émane d’une autorité fédérale et s’impose à ce titre aux cantons chargés de l’application de la législation sur la circulation routière.</w:t>
      </w:r>
    </w:p>
    <w:p>
      <w:r>
        <w:t>b. Encore convient-il de déterminer si, sur cette base, le refus d’autoriser la recourante à équiper ses véhicules de feux orange de danger est fondé.</w:t>
      </w:r>
    </w:p>
    <w:p>
      <w:r>
        <w:t>Concrétisant la notion de « véhicules qui présentent un danger difficilement reconnaissable pour les autres usagers de la route », la circulaire du DFJP en établit une liste exhaustive, en particulier en mentionnant les véhicules des services d’entretien des autoroutes, ceux qui circulent fréquemment au milieu ou sur le côté gauche de la chaussée et ceux utilisés en cas de catastrophes qui, lors d’interventions urgentes, sont souvent stationnés de manière dangereuse pour le trafic.</w:t>
      </w:r>
    </w:p>
    <w:p>
      <w:r>
        <w:t>Contrairement à ce que soutient la recourante, la sécurité du trafic n’est ainsi pas un élément suffisant pour que l’autorité accorde ou non l’autorisation d’équiper un véhicule de feux orange de danger, au regard des cas énumérés, puisque d’autres paramètres entrent en considération à cette fin. L’autorisation n’est ainsi accordée que de manière restrictive, dans la mesure où la multiplication de signaux lumineux est de nature à distraire les conducteurs, comme l’a relevé le Conseil fédéral, principe restant d’actualité. Dans ce contexte, en invoquant à son profit les art. 40 LCR et 29 al. 1 OCR, la recourante perd de vue que ces dispositions réglementent l’utilisation, après l’octroi de l’autorisation, des signaux avertisseurs et optiques, y compris les feux orange de danger, et sont concrétisées par la notice annexée à la circulaire du DFJP, qui ne traite pas des conditions en vue de l’octroi de cette autorisation.</w:t>
      </w:r>
    </w:p>
    <w:p>
      <w:r>
        <w:t>L’activité de la recourante ne correspond à aucune des catégories énumérées par la circulaire du DFJP. En effet, même si elle prétend être amenée à modifier la signalisation sur l’autoroute, elle n’a produit aucune preuve d’une telle activité,</w:t>
      </w:r>
    </w:p>
    <w:p>
      <w:r>
        <w:t>- 17/20 - A/2641/2013 les documents versés à la procédure se limitant à mentionner son intervention aux alentours de celle-ci à une reprise. La recourante n’a pas non plus versé à la procédure de document l’habilitant à intervenir sur l’autoroute, dont l’entretien relève de la compétence de la Confédération en application de l’art. 49 a al. 1 de la loi fédérale sur les routes nationales du 8 mars 1960 (LRN – RS 725.11), ce qu’expriment d’ailleurs les courriers de la DGT et de la brigade de sécurité routière produits devant la chambre de céans, étant précisé que ce dernier document ne fait aucune mention de mandats confiés par la gendarmerie, contrairement aux allégués de la recourante. En tout état, le fait de procéder à la modification des panneaux de signalisation lors de manifestations ne constitue pas encore des travaux d’entretien au sens de la circulaire précitée, la recourante ne prétendant pas avoir une autre activité dans ce cadre. Elle n’allègue pas non plus que ce travail nécessiterait de circuler au milieu de la chaussée ni sur le côté gauche de celle-ci, motivant principalement sa demande par le danger créé, tant pour le trafic que pour ses employés, par ses véhicules à l’arrêt. Même s’il n’est pas impossible que ceux-ci puissent être stationnés de manière dangereuse pour le trafic, cet élément n’est pas suffisant, en l’absence de véhicules d’urgence, comme le prévoit la circulaire du DFJP. Rien n’empêche d’ailleurs les employés de la recourante de sécuriser les lieux lorsque les véhicules de la société se trouvent dans une telle situation. En tout état, la circulaire du DFJP empêche la délivrance de l’autorisation notamment en faveur des machines de travail utilisées ailleurs que sur les autoroutes, les semi-autoroutes et les routes principales hors des agglomérations, le fait d’avoir reçu un agrément de la DGT ne lui étant au demeurant d’aucun secours.</w:t>
      </w:r>
    </w:p>
    <w:p>
      <w:r>
        <w:t>La recourante ne peut ainsi prétendre à l’octroi de l’autorisation sollicitée, n’en remplissant pas les conditions, étant précisé qu’une autorisation pour d’autres cas ne peut être délivrée qu’avec l’accord des autorités fédérales, en particulier s’agissant de travaux sur l’autoroute (ch. 1.6 a contrario). Comme précédemment indiqué, la recourante n’a pas établi se livrer à une telle activité, pas davantage qu’elle n’a fourni d’attestation des autorités fédérales indiquant qu’elle était mandatée pour effectuer ce type de travaux, cette exigence résultant tant de la compétence de la Confédération en matière d’entretien des autoroutes que de la circulaire du DFJP, qui requiert l’accord des autorités fédérales, étant précisé que la recourante n’allègue pas que celle-ci n’aurait aucune assise légale.</w:t>
      </w:r>
    </w:p>
    <w:p>
      <w:r>
        <w:t>Il résulte de ce qui précède qu’en refusant la demande de la recourante, le SCV n’a ni violé la loi, ni excédé ou abusé de son pouvoir d’appréciation, de sorte que le recours sera rejeté sur ce point. 6)</w:t>
      </w:r>
    </w:p>
    <w:p>
      <w:r>
        <w:t>La recourante se plaint de ce que la décision viole le principe d’égalité de traitement, le SCV ayant accordé l’autorisation sollicitée à d’autres sociétés ayant une activité similaire à la sienne.</w:t>
      </w:r>
    </w:p>
    <w:p>
      <w:r>
        <w:t>- 18/20 - A/2641/2013</w:t>
      </w:r>
    </w:p>
    <w:p>
      <w:r>
        <w:t>a. Une décision viole le principe de l’égalité de traitement garanti par l’art. 8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138 V 176 consid. 8.2 p. 183 ; 134 I 23 consid. 9.1 p. 42 ; 131 I 1 consid. 4.2 p. 6 s).</w:t>
      </w:r>
    </w:p>
    <w:p>
      <w:r>
        <w:t>b. Le principe de la légalité de l’activité administrative prévaut en principe sur celui de l’égalité de traitement. En conséquence, le justiciable ne peut généralement pas se prétendre victime d’une inégalité devant la loi lorsque celle- 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 consid. 7.1 p. 61 ; 136 I 65 consid. 5.6 p. 78 ; arrêt du Tribunal fédéral 1C_482/2010 du 14 avril 2011 consid. 5.1 ; ATA/352/2012 du 5 juin 2012 consid. 7).</w:t>
      </w:r>
    </w:p>
    <w:p>
      <w:r>
        <w:t>c. En l’espèce, aucun élément du dossier ne permet d’affirmer que l’autorité intimée aurait accordé à d’autres entreprises exerçant la même activité que la recourante l’autorisation d’équiper leurs véhicules de feu orange de danger, le représentant du SCV ayant, devant la chambre de céans, indiqué que tel n’était pas le cas. Les photographies versées à la procédure, qui ont trait en grande partie à des véhicules ayant une activité différente de celle de la recourante, ne permettent pas d’aboutir à une autre conclusion, puisqu’elles n’attestent pas de la délivrance d’une quelconque autorisation par le SCV, comme l’a précisé son représentant, en expliquant que cette autorité appliquait la circulaire du DFJP et la notice qui l’accompagne, ce dont il n’y a pas lieu de douter.</w:t>
      </w:r>
    </w:p>
    <w:p>
      <w:r>
        <w:t>La recourante ne saurait se prévaloir de l’autorisation dont bénéficie la société E______ SA pour exiger d’être traitée de la même manière que cette société, dès lors que cette dernière est amenée à effectuer des travaux sur l’autoroute et en a justifié en produisant une décision d’adjudication délivrée par l’autorité fédérale, la recourante n’ayant jamais versé au dossier de document similaire, de sorte que les situations de ces deux entreprises ne sont pas semblables et ne méritent ainsi pas un traitement identique.</w:t>
      </w:r>
    </w:p>
    <w:p>
      <w:r>
        <w:t>Elle ne peut pas non plus exiger d’être mise au bénéfice de la même autorisation que D______. En effet, à supposer que cette entreprise se soit vu autoriser par le passé de placer sur ses véhicules des feux orange de danger, le</w:t>
      </w:r>
    </w:p>
    <w:p>
      <w:r>
        <w:t>- 19/20 - A/2641/2013 courrier du SCV du 19 avril 1999 n’étant pas explicite à cet égard, le principe de la légalité prévaut sur celui de l’égalité de traitement. Ainsi, comme précédemment indiqué, en refusant d’accorder l’autorisation sollicitée à la recourante, le SCV a correctement appliqué la réglementation en matière de circulation routière, aucun élément ne permettant d’admettre qu’il n’en aurait pas fait de même dans d’autres cas, les photographies versées au dossier ne reflétant pas la réalité des autorisations accordées. En l’absence d’une pratique illégale constante du SCV, mais d’un cas isolé, en l’occurrence celui de D______, la recourante ne peut ainsi prétendre au même traitement que celle-là, de sorte que son grief est également infondé. 7)</w:t>
      </w:r>
    </w:p>
    <w:p>
      <w:r>
        <w:t>Au regard de ce qui précède, le recours sera rejeté. 8)</w:t>
      </w:r>
    </w:p>
    <w:p>
      <w:r>
        <w:t>Vu l’issue du litige, un émolument de CHF 800.- sera mis à la charge de la recourante, qui succombe, aucune indemnité de procédure ne lui étant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