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ATA/601/2023 vom 6. Juni 2023</w:t>
      </w:r>
    </w:p>
    <w:p>
      <w:r>
        <w:t>GE Cour de justice, 2023-06-06, FR</w:t>
      </w:r>
    </w:p>
    <w:p>
      <w:r>
        <w:rPr>
          <w:b/>
        </w:rPr>
        <w:t xml:space="preserve">Quelle: </w:t>
      </w:r>
      <w:r>
        <w:t>https://mcp.opencaselaw.ch/entscheid/ge_gerichte_ATA_601_2023</w:t>
      </w:r>
    </w:p>
    <w:p>
      <w:r>
        <w:t>FR: GE_GERICHTE ATA/601/2023 du 6 juin 2023</w:t>
      </w:r>
    </w:p>
    <w:p>
      <w:r>
        <w:t>IT: GE_GERICHTE ATA/601/2023 del 6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LPA). 2. Le recours porte sur la conformité au droit de l'autorisation de construire une piscine en 5ème zone délivrée le 7 mars 2022, mais annulée par le TAPI. 2.1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2.2 Chaque fois que l'autorité administrative suit les préavis des instances consultatives, l'autorité de recours observe une certaine retenue, fonction de son aptitude à trancher le litige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(ATA/1296/2022 précité ; ATA/1261/2022 du 13 décembre 2022 consid. 4d et les références citées). La chambre est en revanche libre d'exercer son propre pouvoir d'examen lorsqu'elle procède elle-même à des mesures d'instruction, à l'instar d'un transport sur place (ATA/135/2022 du 1er mars 2022 consid. 9g). 3. Les recourants soutiennent que le TAPI, qui a annulé l’autorisation en cause, aurait violé le principe de la légalité, l’art. 59 al. 3bis LCI ainsi que commis un excès de son pouvoir d’appréciation. 3.1 À teneur de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(ATA/928/2021 du</w:t>
      </w:r>
    </w:p>
    <w:p>
      <w:r>
        <w:rPr>
          <w:b/>
        </w:rPr>
        <w:t>E. 7</w:t>
      </w:r>
    </w:p>
    <w:p>
      <w:r>
        <w:t>septembre 2021 consid. 6a ; ATA/383/2017 du 4 avril 2017 consid. 5a et les références citées). Le principe de la légalité exige donc que les autorités n'agissent que dans le cadre fixé par la loi. Il implique qu’un acte étatique se fonde sur une base légale</w:t>
      </w:r>
    </w:p>
    <w:p>
      <w:r>
        <w:t>- 9/16 - A/1085/2022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ATA/928/2021 précité consid. 6a). 3.2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 3.3 Selon l’art. 59 LCI, en 5ème zone, la surface de la construction, exprimée en m2 de plancher, ne doit pas excéder 25% de la surface de la parcelle. Cette surface peut être portée à 27,5% lorsque la construction est conforme à un standard de HPE, respectivement à 30% lorsque la construction est conforme à un standard de THPE, reconnue comme telle par le service compétent (al.1). Par surface de plancher prise en considération dans le calcul du rapport des surfaces, il faut entendre la SBP de la totalité de la construction hors sol (al. 2). Lorsque les circonstances le justifient et que cette mesure est compatible avec le caractère, l’harmonie et l’aménagement du quartier, le département peut renoncer à prendre en considération dans le calcul du rapport des surfaces, la surface de plancher : a) des combles dont la hauteur est inférieure à 1,8 m ; b) des combles de peu d’importance, indépendamment du vide d’étages ; c) des garages de dimensions modestes, lorsque ceux-ci font partie intégrante du bâtiment principal ; d) des serres, jardins d’hiver ou constructions analogues en matériaux légers et de dimensions modestes (al. 3). Le 28 novembre 2020 est entré en vigueur le nouvel al. 3bis de l'art. 59 LCI (adopté le 1er octobre 2020), selon lequel une surface en pleine terre, à savoir dénuée de toute construction en surface ou en sous-sol et non revêtue, de la parcelle ou du groupe de parcelles considérées par la demande d'autorisation de</w:t>
      </w:r>
    </w:p>
    <w:p>
      <w:r>
        <w:t>- 10/16 - A/1085/2022 construire doit être préservée. Cette disposition s'applique seulement aux demandes d'autorisation déposées après son entrée en vigueur (art. 156 al. 5 LCI). Dans le cas présent, il y a lieu d'appliquer cette disposition, entrée en vigueur antérieurement au dépôt de la demande d'autorisation de construire litigieuse, en janvier 2022. 3.4 Dans la genèse de cette disposition, la notion de « pleine terre » est apparue avec un amendement proposé par une association de propriétaires de villas à la réforme du régime de la densité en zone villas, introduisant la condition cumulative qu’outre la densité maximale de 40% un projet de construction en ordre contigu ou d’habitat groupé sur une parcelle de plus de 2'000 m2 préserve « au minimum 50% de la parcelle en pleine terre » (rapport de la commission d’aménagement du 11 août 2020 sur le projet PL 12566-A de modification de la LCI, p. 7). La notion a ensuite été reprise dans la proposition d’ajout d’un al. 3bis à l’art. 59 par le président de la commission, avec la teneur suivante : « Une surface en pleine terre, à savoir dénuée de toute construction en surface ou en sous-sol et non revêtue, correspondant au minimum à 40% de la surface de la parcelle ou du groupe de parcelles considérées par la demande d’autorisation de construire doit être préservée » (ibid., p. 17). Sur proposition d’un député, qui faisait observer que la question ne se posait que dans les périmètres de densité accrue de la zone villas, un sous-amendement à l’art. 59 al. 3bis dépourvu de la mention des 40% a finalement été approuvé à l’unanimité des commissaires moins une abstention (ibid., p. 18). Un premier rapport de minorité a proposé de réintroduire le seuil de 40% de pleine terre (ibid. pp. 83-84). Un second rapport de minorité a critiqué le principe de l’introduction de l’obligation de prévoir une surface de pleine terre dont les effets sur les projets de construction n’avaient pas été mesurés et a proposé de renoncer à l’al. 3bis (ibid. p. 86). Devant le Grand Conseil, le président du département, évoquant les critères devant présider à l’adoption de secteurs de densification dans les PDCom, a indiqué : « Sur cette base, nous allons travailler pour mettre à jour d'ici la fin de l'année une grille des critères de qualité qui permettra de valoriser la question de la pleine terre - elle doit tendre vers les 40%, mais il y a toujours des cas qui requièrent des dérogations. C'est pourquoi il me semblerait faux d'introduire des règles urbanistiques au niveau législatif : elles relèvent de la commission d'architecture, mais aussi des professionnels et des discussions avec les communes. Ce guide qualité exposera donc une démarche que les propriétaires et promoteurs devront suivre et défendre face à la commission d'architecture, qui sera la gardienne du temple de cette notion de qualité » (Mémorial du Grand Conseil, 1er octobre 2020, premier débat).</w:t>
      </w:r>
    </w:p>
    <w:p>
      <w:r>
        <w:t>- 11/16 - A/1085/2022 L’art. 59 al. 3bis LCI a finalement été adopté le 1er octobre 2020 par 84 oui contre</w:t>
      </w:r>
    </w:p>
    <w:p>
      <w:r>
        <w:rPr>
          <w:b/>
        </w:rPr>
        <w:t>E. 9</w:t>
      </w:r>
    </w:p>
    <w:p>
      <w:r>
        <w:t>non et une abstention. L’amendement prévoyant la réintroduction du seuil de 40% a été rejeté par 76 non contre 10 oui et 9 abstentions. 3.5 La fiche de bonnes pratiques – sols et sous-sols dans le périmètre des rives du lac (LPRLac) établie le 12 septembre 2019 par la commission des monuments, de la nature et des sites (ci-après : CMNS) (https://www.ge.ch/document/ 17265/telecharger), observe « que de nombreux projets décalent les constructions en sous-sol de l’emprise du bâtiment hors-sol, notamment dans le cas de parcelles en pente. Ce qui peut conduire à un étalement qui peut atteindre 50% de la parcelle, par l’addition des surfaces autorisées, soit les 20% hors-sol + les 20% en sous-sol, sans compter les voies d’accès, les garages ou autres constructions de moindre importance (piscines, poolhouses, terrains de sport, etc.) » et recommande le maintien de 2/3 minimum de sol complet (pleine terre) calculés selon la taille de la parcelle (p. 6). Les pertes de sol complètes (bâtiments, piscines, garages, kiosques, poolhouses et autres édicules de jardin avec fondations complètes, ainsi que les accès, voies carrossables et chemins avec revêtements fermés, tels que béton ou enrobé) sont à déduire à 100% de la parcelle ; les sous-sols recouverts d’au moins 40 cm de terre permettant la plantation d’une couverture végétale herbacée ou arbustive à 75% ; les sous-sols recouverts d’au moins 1 m permettant la plantation d’arbres de moyenne grandeur ainsi que les accès, voies carrossables et chemins avec revêtements semi- perméables (tels que matière argilo-calcaire, gravier, gravier-gazon, grilles gazon, pavés sur gravier, enrobé ou béton poreux) à 50% (p. 8). La fiche de bonnes pratiques de la CMNS ne constitue qu’une recommandation n’ayant pas force de loi (ATA/130/2023 du 7 février 2023). 3.6 La surface des constructions, selon l’art. 59 LCI, comprend les constructions annexes faisant corps avec le bâtiment principal, à l’exclusion de celles qui seraient admises comme constructions de peu d’importance (ci-après : CDPI - art. 29 du règlement d’application de la loi sur les constructions et les installations diverses du 27 février 1978 (RCI - L 5 05.01). Les CDPI ne sont pas prises en considération pour le calcul du rapport des surfaces (art. 59 al. 7 LCI). Dans un arrêt récent, la chambre de céans a rappelé qu’une piscine extérieure non couverte, quelle que soit sa taille, n’est pas une CDPI (ATA/437/2023 du 25 avril 2023), ce que le Tribunal fédéral a confirmé (arrêt 1C.494/2022 du 9 mai 2023 consid. 3). 3.7 Il ressort de ce même arrêt qu’il n’est toutefois pas fait abstraction de la surface de telles constructions, qu’elles soient ou non totalement enterrées, d’une surface inférieure ou supérieure à 50 m2, puisqu’elles sont désormais explicitement prises en compte par le législateur à l’art. 59 al. 3bis LCI.</w:t>
      </w:r>
    </w:p>
    <w:p>
      <w:r>
        <w:t>- 12/16 - A/1085/2022 Le département avait à cet égard expliqué devant la chambre de céans de manière cohérente et convaincante que les trois piscines du projet en cause entraient uniquement dans le calcul de l'indice de surface pleine terre au sens de l'art. 59 al. 3 bis LCI. Certes, il n’avait appliqué cette disposition qu’à compter de son entrée en vigueur le 28 novembre 2020. Toutefois, jusque-là, la CA avait déjà ce regard en considérant l'intégration globale du projet dans le contexte. Elle n’aurait par exemple pas accepté une terrasse de 300 m2 sur 350 m2 de surface globale. Désormais, il n'y avait pas de chiffres stricts s'agissant de cette exigence de surface en pleine terre. Le département avait également relevé qu’avant le 28 novembre 2020, il s’appuyait, depuis juin 2017, sur le guide pour une densification de qualité en zone 5 [ci-après : le guide de densification) qui prévoyait que les nouveaux quartiers impliquaient d’accorder une importance certaine à l’IVER, à l’échelle de la parcelle. Le guide de densification permettait d’agir non seulement sur le caractère des espaces verts, mais aussi sur les autres thèmes de l’analyse que le bâti, espace public/partagé et le stationnement. Cette dernière thématique pouvait aboutir à des demandes de projets modifiés ou des préavis défavorables de la CA à l’instar de deux APA produites concernant la construction pour l’une d’une piscine avec terrasse et pour l’autre d’une piscine semi enterrée avec installation d’un jacuzzi. 3.8 Selon le guide de densification, de nouvelles exigences permettraient de renforcer la qualité des projets et leur intégration au contexte urbanistique local et d’en limiter l’impact environnemental. Les requérants devraient désormais fournir, pour tout projet en zone villas, une information concernant l’IVER, quantifiant les effets induits de la construction sur les trois éléments naturels suivants : pleine terre, stratégie végétale et eau. Le projet d'autorisation de construire devait fournir une information sur ces éléments naturels, permettant ainsi d’en objectiver quantitativement et qualitativement l'impact (ATA/437/2023 du 25 avril 2023). 3.9 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177consid. 2.1 ; arrêt du Tribunal fédéral 4P.149/2000 du 2 avril 2001 consid. 2 et les arrêts cités). 4. In casu, la CA a préavisé négativement la construction de la piscine projetée. Il ressort expressément de son préavis du 10 février 2022 que le projet viendrait péjorer et restreindre la surface en pleine terre dont il ne resterait « pratiquement plus rien ». Le département n’a toutefois pas suivi ce préavis et a délivré l’autorisation requise. Quand bien même le préavis de la CA n’était pas</w:t>
      </w:r>
    </w:p>
    <w:p>
      <w:r>
        <w:t>- 13/16 - A/1085/2022 obligatoire, la CA, composée de spécialistes, a examiné avec soin ce projet. Nul ne soutient d’ailleurs qu’elle ne l’aurait pas fait. Le département ne saurait être suivi, ni dans sa décision, ni dans les motifs la fondant. En effet, comme justement relevé par le TAPI, si la valeur de 40% d’IVER proposée par la marche à suivre – dans sa teneur au moment où le département a statué – constitue une valeur cible laissant au département une marge d'appréciation, le résultat auquel il est parvenu consistant à admette un IVER résiduel, après construction de la piscine, de 24.43%, dépasse largement la marge de manœuvre dont il dispose et ne saurait être validé. L'argument du département selon lequel l'IVER serait, avant construction de la piscine, inférieur à la valeur cible de 40%, de sorte que la surface restante ne permettrait déjà pas d'accueillir des arbres d'une certaine importance fait entièrement fi de l’art. 59 al. 3bis LCI entré entre-temps en vigueur et visant à éviter l'imperméabilisation des sols. Un raisonnement selon lequel la situation était déjà critiquable au niveau de la surface de pleine terre existante ne saurait justifier de péjorer encore davantage la situation sous l’angle de l’imperméabilisation de la parcelle. Ce raisonnement va nettement à l’encontre de la volonté du législateur ancrée dans le nouvel art. 59 al. 3bis LCI, quand bien même aucune valeur cible n’y a en définitive été inscrite. Il n’est enfin pas pertinent qu’il demeure, après construction de la piscine, une surface suffisante ou non pour planter de grands arbres, puisque l’art. 59 al. 3bis LCI a pour vocation le maintien de surfaces libres de constructions et non revêtues, pour assurer la perméabilité du sol, et non pas forcément la plantation de grands arbres. Dans ces circonstances, le département s’est écarté du préavis de la CA sans « motifs pertinents [ni] en raison d'un intérêt public supérieur ». Dans cette mesure, sa décision viole le droit. Le TAPI doit aussi être suivi lorsqu’il retient dans le jugement attaqué que le département ne saurait justifier la délivrance de l'autorisation querellée par l’existence de deux piscines autorisées sur les parcelles voisines, pour mémoire construites en 2016 en même temps que les quatre villas du projet. C’est en effet faire fi de l’art. 59 al. 3bis LCI applicable aux demandes d’autorisation déposées après son entrée en vigueur, conformément à l'art. 156 al. 5 LCI, ce qui est le cas de la demande déposée par les recourants. Une telle pratique est illégale. 5. Selon les recourants, l’annulation de l’autorisation de construire consacrerait une inégalité de traitement et serait partant arbitraire pour cette raison également. 5.1 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w:t>
      </w:r>
    </w:p>
    <w:p>
      <w:r>
        <w:t>- 14/16 - A/1085/2022 vigueur (ATF 119 Ia 254 consid. 3 ; 116 Ia 207 consid. 4a ; ACST/16/2015 du 2 septembre 2015 consid. 16b ; ATA/210/2016 du 8 mars 2016 consid. 10c). 5.2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personnes tierces le soit aussi à elle-même ou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personnes tierces prépondérant ne s’y oppose (ATF 139 II 49 consid. 7.1 ; arrêt du Tribunal fédéral 1C_337/2020 du 10 février 2021 consid. 4.2 ; Andreas AUER/Giorgio MALINVERNI/Michel HOTTELIER, Droit constitutionnel suisse, vol. 2, 3ème éd., 2013, p. 500 s. n. 1074 ss ; Pierre MOOR/Alexandre FLÜCKIGER/Vincent MARTENET, Droit administratif, vol. 1, 3ème éd., 2012, p. 627 ss n. 4.1.1.4). De plus, une pratique constante demeurera cependant sans effet si son caractère illégal est identifié pour la première fois à l'occasion d'une procédure judiciaire ;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127 I 1</w:t>
      </w:r>
    </w:p>
    <w:p>
      <w:r>
        <w:t>- 15/16 - A/1085/2022 consid. 3a ; arrêt du Tribunal fédéral 1C_436/2014 du 5 janvier 2015 consid. 5.1 ; Pierre TSCHANNEN, Gleichheit im Unrecht : Gerichtsstrafe im Grundrechtskleid in ZBl 112/2011 p. 74). 5.3 En l’espèce et comme déjà relevé, les deux piscines construites sur des parcelles voisines ayant fait objet de la même promotion de construction de quatre villas, dont celle des recourants, l’ont été en 2016. Entre-temps, la loi a changé et, nonobstant l’avis contraire du département et des recourants, doit être opposée en lien avec la construction de la piscine projetée. Comme déjà dit, vu l’IVER résiduel qui resterait après construction de cette piscine, l’art. 59 al. 3bis LCI entré depuis l’heure en vigueur serait violé. Il ne saurait dans ces conditions être question d’une égalité de traitement dans la mesure où la situation juridique n’est plus la même entre celle prévalant en 2016, respectivement à compter du 28 novembre 2020, date d’entrée en vigueur de l’art. 59 al. 3bis LCI. Le grief d’une violation du principe d’égalité de traitement doit être rejeté. En tous points infondé, le recours doit être rejeté, sans qu’il ne soit nécessaire d’examiner la conformité du projet au PDCom, dans la mesure déjà où il contrevient au droit cantonal (arrêt du Tribunal fédéral 1C_257/2013 du 13 janvier 2014 consid. 5.3 ; arrêt du Tribunal fédéral 1A.154/2002 du 22 janvier 2003). 6. Vu l’issue du litige, un émolument de CHF 1'500.- sera mis à la charge conjointe des recourants (art. 87 al. 1 LPA). Une indemnité de procédure CHF 1'500.- sera allouée à la commune, qui y a conclu et compte moins de 10’000 habitants, à la charge solidaire des recourants (art. 87 al. 2 LPA ; ATA/1324/2017 du 26 septembre 2017 consid. 6 ; ATA/753/2016 du 6 septembre 2016 consid. 8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