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ATA/600/2015 vom 9. Juni 2015</w:t>
      </w:r>
    </w:p>
    <w:p>
      <w:r>
        <w:t>GE Cour de justice, 2015-06-09, FR</w:t>
      </w:r>
    </w:p>
    <w:p>
      <w:r>
        <w:rPr>
          <w:b/>
        </w:rPr>
        <w:t xml:space="preserve">Quelle: </w:t>
      </w:r>
      <w:r>
        <w:t>https://mcp.opencaselaw.ch/entscheid/ge_gerichte_ATA_600_2015</w:t>
      </w:r>
    </w:p>
    <w:p>
      <w:r>
        <w:t>FR: GE_GERICHTE ATA/600/2015 du 9 juin 2015</w:t>
      </w:r>
    </w:p>
    <w:p>
      <w:r>
        <w:t>IT: GE_GERICHTE ATA/600/2015 del 9 giugno 2015</w:t>
      </w:r>
    </w:p>
    <w:p>
      <w:pPr>
        <w:pStyle w:val="Heading2"/>
      </w:pPr>
      <w:r>
        <w:t>Regeste</w:t>
      </w:r>
    </w:p>
    <w:p>
      <w:r>
        <w:t>Résumé: Dans une précédente jurisprudence (ATA/181/2015), la chambre administrative avait estimé que les conditions de l'inscription au registre cantonal des avocats d'une personne titulaire d'un brevet d'avocat suisse et employée à plein temps par un cabinet d'avocats international, dont aucun associé n'était inscrit au registre cantonal des avocats, n'étaient pas réalisées. Bien que cette personne et son employeur aient pris diverses mesures en vue de lui permettre de pratiquer, outre son activité salariée, la profession d'avocate au barreau de Genève en qualité d'indépendante, certains obstacles organisationnels subsistaient, ne permettant pas de garantir son indépendance. Cette jurisprudence est applicable même si la personne titulaire du brevet d'avocat suisse qui requiert son inscription est un associé du cabinet d'avocats international.</w:t>
      </w:r>
    </w:p>
    <w:p>
      <w:pPr>
        <w:pStyle w:val="Heading2"/>
      </w:pPr>
      <w:r>
        <w:t>Erwägungen</w:t>
      </w:r>
    </w:p>
    <w:p>
      <w:r>
        <w:rPr>
          <w:b/>
        </w:rPr>
        <w:t>E. 7</w:t>
      </w:r>
    </w:p>
    <w:p>
      <w:r>
        <w:t>octobre 2010 consid. 3.1 ; 9C_831/2009 du 12 août 2010 et arrêts cités ; ATA/844/2012 du 18 décembre 2012).</w:t>
      </w:r>
    </w:p>
    <w:p>
      <w:r>
        <w:t>En l’occurrence, la décision de la commission du 8 décembre 2014, qui comporte onze pages, permet amplement au recourant de comprendre les raisons ayant conduit cette instance, après avoir refusé l’entrée en matière sur la requête du recourant en modification de son inscription, à procéder à la radiation de son inscription actuelle du registre cantonal, celle-ci constituant, de l’avis de la commission, la conséquence juridique légale du rejet de celle-là. 7)</w:t>
      </w:r>
    </w:p>
    <w:p>
      <w:r>
        <w:t>Le recourant soutient remplir les conditions d'inscription au tableau lui permettant d’exercer sa profession comme indépendant, en particulier bénéficier de l'indépendance exigée par la loi et respecter les règles professionnelles qui en découlent en matière de secret professionnel et d'absence de conflit d'intérêts. 8) a. Pour être inscrit au registre cantonal, l’avocat doit notamment être en mesure de pratiquer en toute indépendance ; il ne peut être employé que par des personnes elles-mêmes inscrites dans un registre cantonal (art. 8 al. 1 let. d LLCA).</w:t>
      </w:r>
    </w:p>
    <w:p>
      <w:r>
        <w:t>L'art. 12 LLCA énonce les règles professionnelles auxquelles l'avocat est soumis. Celui-ci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w:t>
      </w:r>
    </w:p>
    <w:p>
      <w:r>
        <w:t>L'avocat est en outre soumis au secret professionnel pour toutes les affaires qui lui sont confiées par ses clients dans l'exercice de sa profession ; cette obligation n'est pas limitée dans le temps et est applicable à l'égard des tiers (art. 13 al. 1 1ère phrase LLCA).</w:t>
      </w:r>
    </w:p>
    <w:p>
      <w:r>
        <w:t>Dans le canton de Genève, l’avocat inscrit au registre ne peut s’associer ou avoir des locaux communs qu’avec des personnes exerçant la même activité professionnelle (art. 10 al. 1ère phrase LPAv).</w:t>
      </w:r>
    </w:p>
    <w:p>
      <w:r>
        <w:t>b. L'indépendance est un principe essentiel de la profession d'avocat (arrêt du Tribunal fédéral 2C_889/2008 du 21 juillet 2009 consid. 3.1.2) ; elle est la clé de voûte de la pratique du barreau sur laquelle s'appuient les piliers de la profession</w:t>
      </w:r>
    </w:p>
    <w:p>
      <w:r>
        <w:t>- 16/24 - A/251/2015 que sont le secret professionnel, l'interdiction des conflits d'intérêts, la probité de l'avocat et la fidélité dans l'exécution du mandat (Philippe MEIER/Christian REISER, Commentaire romand, 2010, p. 62 n. 28 ad art. 8 LLCA ; François BOHNET/Vincent MARTENET, Droit de la profession d’avocat, 2009, p. 545 n. 1301).</w:t>
      </w:r>
    </w:p>
    <w:p>
      <w:r>
        <w:t>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p. 443). La notion d’indépendance forme un tout, même si elle a été traitée dans la loi dans deux dispositions différentes (ATA/111/2008 du</w:t>
      </w:r>
    </w:p>
    <w:p>
      <w:r>
        <w:rPr>
          <w:b/>
        </w:rPr>
        <w:t>E. 11</w:t>
      </w:r>
    </w:p>
    <w:p>
      <w:r>
        <w:t>mars 2008 ; François BOHNET/Vincent MARTENET, op. cit. p. 278 n. 627).</w:t>
      </w:r>
    </w:p>
    <w:p>
      <w:r>
        <w:t>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p. 445).</w:t>
      </w:r>
    </w:p>
    <w:p>
      <w:r>
        <w:t>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130 II 87 consid. 5.2 p. 103 s. ; 138 II 440 consid. 3 p. 444).</w:t>
      </w:r>
    </w:p>
    <w:p>
      <w:r>
        <w:t>c. Le Tribunal fédéral considère que, sous l'angle de l'indépendance institutionnelle, dans le cas d'un avocat pratiquant cette profession parallèlement à une activité salariée, l'art. 8 al. 1 let. d 2ème phrase LLCA, aux termes de laquelle l'avocat ne peut être employé que par des personnes elles-mêmes inscrites dans un registre cantonal, ne signifie pas nécessairement que l'intéressé ne soit pas en mesure de pratiquer en toute indépendance et ne puisse dès lors se faire inscrire au registre. En effet, le texte de l'art. 8 al. 1 let. d LLCA n'est clair qu'au premier abord. À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 même pas inscrite, mais de le faire seulement dans la mesure où un tel engagement comporte le risque que l'intéressé subisse des influences extérieures dans l'exercice de sa profession (arrêt du Tribunal fédéral 2C_433/2013 du</w:t>
      </w:r>
    </w:p>
    <w:p>
      <w:r>
        <w:t>- 17/24 - A/251/2015 6 décembre 2013 connu du recourant, puisqu’il l’a commenté dans ses écritures du 30 mai 2014 ; ATF 130 II 87 consid. 4.3.3 p. 97, consid. 5.2 p. 102 s. ; ATF 138 II 440 consid. 6 p. 446, consid. 14 p. 453, consid. 15 p. 455, consid. 17 p. 456). Ainsi, l'art. 8 al. 2 2ème phrase LLCA crée une présomption que l'indépendance fait défaut s'agissant de mandats présentant un lien quelconque avec l'engagement de l’avocat salarié, comme lorsque l'avocat défend les intérêts de son employeur ou de clients de ce dernier (ATF 138 II 440 consid. 14 p. 453 s. ; ATF 130 II 87 consid. 5.1.1 p. 100, consid. 5.2 p. 103 ; arrêt du Tribunal fédéral 2C_433/2013 précité). L'intéressé peut renverser la présomption en donnant toutes les informations utiles sur son engagement, de nature à établir clairement que son employeur ne peut exercer aucune influence sur la gestion des mandats (ATF 130 II 87 consid. 6.1 et 6.2 p. 104 s. ; arrêts du Tribunal fédéral 2C_433/2013 du 6 décembre 2013 ; 2A_124/2005 du 25 octobre 2005 consid. 2.2 et les références citées). Tel est le cas lorsque l’activité de l’avocat est à tous points de vue séparée de celle qu'il exerce comme employé, de sorte que l'engagement n'interfère pas avec l'exercice indépendant de cette profession (ATF 138 II 440 consid. 6 p. 446 ; ATF 130 II 87 consid. 5.2 p. 103, consid. 6.3.2 p. 107 ; arrêt du Tribunal fédéral 2C_433/2013 du 6 décembre 2013).</w:t>
      </w:r>
    </w:p>
    <w:p>
      <w:r>
        <w:t>d. L'art. 8 al. 1 let. d LLCA doit néanmoins être interprété de façon à ne pas empiéter de manière trop excessive sur la liberté du commerce dont bénéficie l'avocat. Lorsqu'un avocat est employé d'une personne non inscrite au tableau à côté de son activité indépendante, il y a une présomption de dépendance, que l'avocat peut renverser pour demander son inscription. Pour ce faire, il doit démontrer que ses clients n'ont aucun lien avec son employeur et que ce dernier ne dispose d'aucun pouvoir d'instruction ou de droit de regard sur les mandats d'avocat de son employé. À cela s'ajoute que l'avocat ne peut pas accepter de mandats contre ou en faveur de son employeur dans un litige impliquant des clients de ce dernier. Enfin, il faut que les locaux dans lesquels l'avocat exerce sa profession soient séparés de ceux de l'employeur (ATF 130 II 270 consid. 6 in RDAF 2005 I 526 ; Benoît CHAPPUIS, La profession d'avocat, Tome I, Le cadre légal et les principes essentiels, 2013, p. 64 ss.). 9)</w:t>
      </w:r>
    </w:p>
    <w:p>
      <w:r>
        <w:t>Dans un arrêt du 17 février 2015 (ATA/181/2015), la chambre administrative a confirmé un refus de la commission d’autoriser l’inscription comme avocate indépendante au tableau d’une avocate salariée d’un cabinet international d’avocats spécialisés dans l’arbitrage, constitué en société organisée selon le droit du Delaware (États-Unis d’Amérique) sous la forme d’une LLP gérée par une société holding constituée sous la même forme. À l’instar du recourant, la requérante, titulaire d’un brevet d’avocat suisse, cherchait à s’inscrire au tableau pour exercer à Genève une activité d’avocate indépendante, parallèlement à la poursuite de son activité au sein du bureau genevois du cabinet international précité. Elle était désireuse de pratiquer dans les locaux dudit cabinet.</w:t>
      </w:r>
    </w:p>
    <w:p>
      <w:r>
        <w:t>- 18/24 - A/251/2015</w:t>
      </w:r>
    </w:p>
    <w:p>
      <w:r>
        <w:t>Selon la chambre administrative, les conditions préconisées par l’art. 8 al. 1 let. d LLCA n’étaient pas réunies malgré les mesures prises par l’intéressée dans le but d’organiser son activité de manière indépendante (notamment par le biais d’une convention qu’elle avait passée avec son employeur visant à permettre l’exercice indépendant de son activité dans les locaux). Les associés de la LLP n’étaient pas soumis aux exigences de la LLCA, ni à la surveillance de la commission. La procédure de vérification d’éventuels cas de conflit d’intérêts mise en place conduisait à ce que l’employeur pouvait avoir connaissance de l’identité, voire à d’autres données relatives à des clients privés de la requérante, si bien que le secret professionnel n’était pas garanti. De plus, l’intervention de l’employeur dans la procédure de sélection des mandats ne permettait pas d’exclure que celui-ci ne puisse exercer une influence sur la gestion des mandats de l’avocate, obtenus par son activité indépendante. De même, le fait que la requérante exerçait ses activités indépendantes dans les locaux de son employeur et qu’elle utilise la même infrastructure pour le traitement des affaires de son employeur et de ses propres clients ne permettait pas de garantir son indépendance structurelle, voire le respect du secret professionnel. 10) En l'espèce, la situation du recourant présente d’importantes similitudes à celle traitée dans l’arrêt de la chambre administrative précité. Le recourant est titulaire d'un brevet d'avocat suisse mais déploie une activité d’avocat au sein d’une étude d’avocats internationale ayant des locaux à Genève, étude qui appartient à un cabinet d'avocats international ayant son siège aux États-Unis, organisé sous la forme juridique d’une LLP, et dont l’essentiel de l’activité concerne le domaine de l'arbitrage ou du commerce international. De manière similaire, il requiert une inscription au tableau dans le but d’être autorisé à déployer, parallèlement à son activité au sein de l’étude internationale et dans les mêmes locaux, une activité d’avocat inscrit au tableau consistant en la représentation, en son nom, sous sa propre responsabilité et pour son propre compte, de tierces parties devant les autorités et tribunaux suisses. De même, à cette fin, il justifie l’indépendance de son activité par une convention réglant les rapports qu’il allait entretenir avec l’étude internationale en question pour l’exercice de cette activité indépendante aux côtés de son activité au sein bureau du cabinet américain.</w:t>
      </w:r>
    </w:p>
    <w:p>
      <w:r>
        <w:t>La seule différence dans sa situation, par rapport à celle qui prévalait dans l’ATA/178/2015 réside dans le fait qu’il n’est pas employé mais associé de l’étude constituée en LLP. En revanche, le fait qu’il figure déjà au tableau des avocats genevois ne change rien à la situation. Cette donnée s’explique par l’activité antérieure qu’il a exercée au sein d’une étude de la place et par le consentement de la commission à maintenir cette inscription jusqu’à droit connu dans la présente procédure. Toutefois, l’existence de cette inscription antérieure ne confère aucune légitimité supplémentaire à son inscription. La requête qu’il a formée devant la commission ne vise pas à faire simplement enregistrer un</w:t>
      </w:r>
    </w:p>
    <w:p>
      <w:r>
        <w:t>- 19/24 - A/251/2015 changement d’adresse professionnelle ou un transfert de son activité dans une autre étude composée d’avocats inscrits au tableau, voire l’ouverture d’une étude indépendante dans des locaux propres. Elle est fondée sur un état de fait nouveau, soit la volonté de pratiquer une activité d’avocat inscrit au barreau de Genève dans des locaux partagés avec une étude d’avocats étrangers non soumis à la LLCA, à laquelle il est associé. Cette requête implique un réexamen complet de de cette nouvelle situation au regard des conditions personnelles au sens de l’art. 8 LLCA, qui doivent exister pour que le droit de s’inscrire au tableau lui soit reconnu, sans qu’il puisse s’appuyer sur l’existence de son inscription antérieure. 11)</w:t>
      </w:r>
    </w:p>
    <w:p>
      <w:r>
        <w:t>Malgré la différence précitée, la situation exposée par le recourant ne diverge que peu de celle qui prévalait dans l’arrêt précité. L’existence d’une convention passée entre le recourant et ses associés dans le but de formaliser et organiser l’indépendance de sa pratique au sein du cabinet dans lequel il entend exercer celle-ci, n’est pas un élément décisif lui permettant d’apporter la preuve d’une garantie concrète d’indépendance (ATF 2A_124/2001 consid 2.2). Le recourant entend exercer son activité d’avocat inscrit au tableau à partir d’une étude d’avocats avec lesquels il est associé, ou dont il est l’employeur mais qui ne sont pas inscrits au registre cantonal des avocats. Ces derniers ne sont donc pas soumis aux exigences de la LLCA et le fait qu’ils soient soumis à des standards professionnels élevés n’y change rien.</w:t>
      </w:r>
    </w:p>
    <w:p>
      <w:r>
        <w:t>Dans un tel contexte, la gestion des conflits d’intérêts potentiels reste problématique sous l’angle de l’indépendance. Même si le recourant, associé de l’étude américaine, peut par lui-même effectuer des recherches dans la base de données de l’étude pour détecter les risques de tels conflits, il ne lui sera pas possible dans le cas de l’examen à effectuer, de ne pas devoir, selon les cas, contacter ses associés ou leurs collaborateurs, dans le cadre de ces contrôles. Il existe donc un risque qu’au travers de ces démarches, l’identité voire l’objet des mandats que des clients entendraient lui confier dans le cadre de son activité indépendante, soit ainsi communiqués ou accessibles à des personnes, avocats ou auxiliaires, non soumises à la LLCA, du fait de sa double activité d’avocat associé au sein de l’étude américaine et d’avocat indépendant inscrit au tableau.</w:t>
      </w:r>
    </w:p>
    <w:p>
      <w:r>
        <w:t>Lors du transport sur place de la commission, le recourant a indiqué qu’il n’excluait pas de traiter des dossiers pour le compte de clients qui seraient également mandants de l’étude américaine. Il soutient, tout en admettant que la jurisprudence fédérale est très restrictive quant à la possibilité pour un avocat indépendant de représenter en justice les clients de son employeur, que cette question n’avait pas être tranchée au regard de l’exigence d’indépendance structurelle au sens de l’art. 8 al. 1 let. d LLCA, mais avec celle d’indépendance matérielle au sens de l’art. 12 let. b LLCA. Son raisonnement ne peut être suivi. Si le recourant, inscrit au tableau, venait, comme il l’admet, à accepter en qualité d’avocat autorisé à pratiquer à Genève, un mandat d’un client de l’étude</w:t>
      </w:r>
    </w:p>
    <w:p>
      <w:r>
        <w:t>- 20/24 - A/251/2015 américaine aux activités de laquelle il est associé, un risque existerait qu’il ne puisse mener l’entier de de ses activités en complète indépendance, soit en faisant abstraction des autres mandats menés par le bureau américain auquel il est associé. Sur ce point, le risque de défaut d’indépendance résulte déjà du défaut d’indépendance structurelle imposé par l’art. 8 al. 1 let. d LLCA. Le fait que le recourant exerce à la fois comme associé du bureau d’avocats américains et comme avocat indépendant dans les mêmes locaux crée un risque de confusion qui contrevient à la condition imposée par cette disposition, avant tout problème d’indépendance matérielle. 12) Dans l’ATA/181/2015 précité, la commission avait retenu que l’organisation interne de l’étude ne permettait pas d’admettre que l’indépendance structurelle soit assurée par les dispositions prises dans les locaux de celle-ci et la chambre administrative avait confirmé son point de vue. Dans la décision attaquée, la commission est arrivée aux mêmes conclusions sur la base des constats qu’elle fait lors du transport sur place du 16 septembre 2014.</w:t>
      </w:r>
    </w:p>
    <w:p>
      <w:r>
        <w:t>En l’espèce, même si le nom du recourant figure au bas de l’immeuble sur une plaque distincte de celle de l’étude américaine, même s’il envisage dans ses rapports avec sa clientèle privée d’utiliser un papier à lettre distinct ainsi qu’un ordinateur personnel, même s’il reçoit ses clients personnels dans son bureau et que les dossiers de ceux-ci sont entreposés dans un espace réservé, il n’empêche que sa pratique professionnelle se déploiera au sein des locaux de l’étude dont il est par ailleurs l’associé, sans entrée, réception ou bureaux distincts de celle-ci. Dans ces circonstances, une telle organisation, quelles que soient les garanties d’indépendance que la direction de B______ peut formellement fournir, ne peut empêcher un risque certain de confusion entre son activité propre et celle qu’il déploie pour le compte de de la firme américaine.</w:t>
      </w:r>
    </w:p>
    <w:p>
      <w:r>
        <w:t>Au vu des éléments qui précèdent, la commission était donc fondée à refuser l’inscription du recourant au registre genevois des avocats, dans la mesure où la condition de la pratique de la profession en toute indépendance au sens de l’art. 8 al. 1 let. d LLCA n’est pas réalisée.</w:t>
      </w:r>
    </w:p>
    <w:p>
      <w:r>
        <w:t>13) Le recourant se plaint encore d'une atteinte à sa liberté économique et d'une violation du principe de l'égalité de traitement. 14)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w:t>
      </w:r>
    </w:p>
    <w:p>
      <w:r>
        <w:t>- 21/24 - A/251/2015 s’étend non seulement aux indépendants, mais encore aux employés salariés lorsqu’ils sont atteints dans leurs droits juridiquement protégés (ATF 112 Ia 318, 319).</w:t>
      </w:r>
    </w:p>
    <w:p>
      <w:r>
        <w:t>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w:t>
      </w:r>
    </w:p>
    <w:p>
      <w:r>
        <w:t>Selon la jurisprudence, faire dépendre l'inscription au registre cantonal des avocats l'indépendance institutionnelle constitue une limitation de la liberté économique au sens de l'art. 27 Cst., laquelle est également valable pour l'activité d'avocat soumise au monopole (arrêt du Tribunal fédéral 2C_433/2013 du 6 décembre 2013 et les références citées).</w:t>
      </w:r>
    </w:p>
    <w:p>
      <w:r>
        <w:t>b. Il est indéniable que la décision litigieuse constitue une restriction à la liberté économique du recourant ; elle ne lui interdit cependant pas toute activité économique en lien avec sa formation, mais uniquement de pratiquer la représentation devant les autorités et tribunaux suisses en qualité d'avocat indépendant, dans le cadre et en fonction de l’organisation qu’il expose. Une telle atteinte est fondée sur l'art. 8 al. 1 let. d LLCA, qui ne permet pas l'inscription au registre cantonal des avocats si l'une des conditions personnelles mentionnées, en particulier celle de l'indépendance de l'avocat, fait défaut. Cette norme constitue une base légale suffisante et l’absence d’indépendance est avérée en l’espèce. La nécessité de sauvegarder l'indépendance des avocats obéit à un intérêt public. Enfin, cette limitation de la liberté économique du recourant ne s'avère pas disproportionnée eu égard au but poursuivi.</w:t>
      </w:r>
    </w:p>
    <w:p>
      <w:r>
        <w:t>Ce grief sera par conséquent écarté. 15)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- 22/24 - A/251/2015</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Andreas AUER/Giorgio MALINVERNI/Michel HOTTELIER, Droit constitutionnel suisse, 2006, vol. 2, p. 502/503 n. 1025-1027 ; Vincent MARTENET, op. cit., p. 260 ss ; Pierre MOOR, Droit administratif, 1994, vol. 1,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En rapport avec ce grief, le recourant considère qu’il n’est pas juste de ne pas le soumettre au même régime que celui accordé à des avocats qui partagent les charges de bureaux communs ou à des avocats qui exercent leur pratique privée dans les mêmes locaux que ceux d’une association dont ils défendent les intérêts des membres, tels les avocats de l’ASLOCA qui défendent leurs membres devant les juridiction spécialisées en matière de bail.</w:t>
      </w:r>
    </w:p>
    <w:p>
      <w:r>
        <w:t>- 23/24 - A/251/2015</w:t>
      </w:r>
    </w:p>
    <w:p>
      <w:r>
        <w:t>Leur situation n’est cependant pas comparable. Il s’agit dans ces différents cas de structures professionnelles d’avocats qui sont tous inscrits au tableau et soumis, les uns et les autres, tant à la LLCA qu’à la surveillance de la commission. Tel n’est pas le cas de tous les avocats de l’étude américaine à laquelle le recourant est associé, qui fait l’objet d’une organisation dépassant les frontières de la Suisse, si bien que l’autorité de surveillance peut exiger d’eux qu’ils se conforment et justifient d’une pratique indépendante (ATF 139 III 249 consid 1).</w:t>
      </w:r>
    </w:p>
    <w:p>
      <w:r>
        <w:t>Ce grief sera également rejeté. 16) Selon l’art. 9 LLCA, l’avocat qui ne remplit plus l’une des conditions d’inscription est radié du registre cantonal des avocats. En l’occurrence, c’est ce qu’a fait la commission après avoir constaté que la condition imposée par l’art. 8 al. 1 let. d LLCA faisait défaut. Vu l’issue du recours sur ce point, ce volet de sa décision ne peut être que confirmé. 17) Au vu de ce qui précède, le recours sera rejeté. Un émolument de CHF 1’500.-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