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ATA/600/2012 vom 4. September 2012</w:t>
      </w:r>
    </w:p>
    <w:p>
      <w:r>
        <w:t>GE Cour de justice, 2012-09-04, FR</w:t>
      </w:r>
    </w:p>
    <w:p>
      <w:r>
        <w:rPr>
          <w:b/>
        </w:rPr>
        <w:t xml:space="preserve">Quelle: </w:t>
      </w:r>
      <w:r>
        <w:t>https://mcp.opencaselaw.ch/entscheid/ge_gerichte_ATA_600_2012</w:t>
      </w:r>
    </w:p>
    <w:p>
      <w:r>
        <w:t>FR: GE_GERICHTE ATA/600/2012 du 4 septembre 2012</w:t>
      </w:r>
    </w:p>
    <w:p>
      <w:r>
        <w:t>IT: GE_GERICHTE ATA/600/2012 del 4 settembre 2012</w:t>
      </w:r>
    </w:p>
    <w:p>
      <w:pPr>
        <w:pStyle w:val="Heading2"/>
      </w:pPr>
      <w:r>
        <w:t>Erwägungen</w:t>
      </w:r>
    </w:p>
    <w:p>
      <w:r>
        <w:rPr>
          <w:b/>
        </w:rPr>
        <w:t>E. 1</w:t>
      </w:r>
    </w:p>
    <w:p>
      <w:r>
        <w:t>A la demande d’une partie, la juridiction qui a statué interprète sa décision, lorsqu’elle contient des obscurités ou des contradictions dans le dispositif ou entre le dispositif et les considérants (art. 84 al. 1 de la loi sur la procédure administrative du 12 septembre 1985 (LPA - E 5 10) .</w:t>
      </w:r>
    </w:p>
    <w:p>
      <w:r>
        <w:t>La demande d’interprétation doit être présentée dans les délais prévus pour les recours (art. 84 al. 2 LPA), soit 30 jours (art. 62 al. 1 let. a LPA).</w:t>
      </w:r>
    </w:p>
    <w:p>
      <w:r>
        <w:t>Déposée dans les trente jours après le prononcé du Tribunal fédéral, la demande est recevable.</w:t>
      </w:r>
    </w:p>
    <w:p>
      <w:r>
        <w:rPr>
          <w:b/>
        </w:rPr>
        <w:t>E. 2</w:t>
      </w:r>
    </w:p>
    <w:p>
      <w:r>
        <w:t>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110 V 222 consid. 1 et les références citées ; Arrêts du Tribunal fédéral 4G.3/2007 du 22 novembre 2007 consid. 3 ; 4G.1/2007 du 13 septembre 2007 consid. 2).</w:t>
      </w:r>
    </w:p>
    <w:p>
      <w:r>
        <w:t>Ne sont pas admises, en revanche, les demandes d'interprétation qui visent à la modification du contenu de la décision. L'interprétation a en effet uniquement pour objet de reformuler clairement et complètement une décision qui ne l'a pas été alors même qu'elle a été clairement et pleinement pensée et voulue (ATF précités).</w:t>
      </w:r>
    </w:p>
    <w:p>
      <w:r>
        <w:rPr>
          <w:b/>
        </w:rPr>
        <w:t>E. 3</w:t>
      </w:r>
    </w:p>
    <w:p>
      <w:r>
        <w:t>Vu l’issue du litige, aucun émolument ne sera perçu. Une indemnité de procédure de CHF 300.- sera allouée, à la charge de l’Etat de Genève, à A______, seule partie ayant pris une conclusion en ce sens. (art. 87 LPA).</w:t>
      </w:r>
    </w:p>
    <w:p>
      <w:r>
        <w:t>- 5/6 - A/629/2012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