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ATA/5/2018 vom 8. Januar 2018</w:t>
      </w:r>
    </w:p>
    <w:p>
      <w:r>
        <w:t>GE Cour de justice, 2018-01-08, FR</w:t>
      </w:r>
    </w:p>
    <w:p>
      <w:r>
        <w:rPr>
          <w:b/>
        </w:rPr>
        <w:t xml:space="preserve">Quelle: </w:t>
      </w:r>
      <w:r>
        <w:t>https://mcp.opencaselaw.ch/entscheid/ge_gerichte_ATA_5_2018</w:t>
      </w:r>
    </w:p>
    <w:p>
      <w:r>
        <w:t>FR: GE_GERICHTE ATA/5/2018 du 8 janvier 2018</w:t>
      </w:r>
    </w:p>
    <w:p>
      <w:r>
        <w:t>IT: GE_GERICHTE ATA/5/2018 del 8 gennaio 2018</w:t>
      </w:r>
    </w:p>
    <w:p>
      <w:pPr>
        <w:pStyle w:val="Heading2"/>
      </w:pPr>
      <w:r>
        <w:t>Erwägungen</w:t>
      </w:r>
    </w:p>
    <w:p>
      <w:r>
        <w:rPr>
          <w:b/>
        </w:rPr>
        <w:t>E. 21</w:t>
      </w:r>
    </w:p>
    <w:p>
      <w:r>
        <w:t>décembre 2012 consid. 3.2).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 du Tribunal fédéral 2C_256/2013 du 10 avril 2013 consid. 4.5 et les arrêts cités).</w:t>
      </w:r>
    </w:p>
    <w:p>
      <w:r>
        <w:t>d. En l’espèce, le recourant n’allègue aucun fait qui n’aurait pas été soumis à l’examen de l’autorité fédérale compétente lorsqu’elle a prononcé la décision de refus d’entrée en matière et de renvoi du 6 mai 2010 et lorsqu’elle a rejeté la demande de réexamen déposée le 18 août 2016 par M. A______. Or, il n’a pas recouru contre cette décision. Il n’apparaît par ailleurs pas que dite décision soit entachée de nullité.</w:t>
      </w:r>
    </w:p>
    <w:p>
      <w:r>
        <w:t>Dans ces conditions, l’exécution du renvoi n’est pas manifestement impossible, illicite ou non exigible. 12) Au vu de ce qui précède, le recours sera rejeté. 13)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