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ATA/59/2011 vom 1. Februar 2011</w:t>
      </w:r>
    </w:p>
    <w:p>
      <w:r>
        <w:t>GE Cour de justice, 2011-02-01, FR</w:t>
      </w:r>
    </w:p>
    <w:p>
      <w:r>
        <w:rPr>
          <w:b/>
        </w:rPr>
        <w:t xml:space="preserve">Quelle: </w:t>
      </w:r>
      <w:r>
        <w:t>https://mcp.opencaselaw.ch/entscheid/ge_gerichte_ATA_59_2011</w:t>
      </w:r>
    </w:p>
    <w:p>
      <w:r>
        <w:t>FR: GE_GERICHTE ATA/59/2011 du 1 février 2011</w:t>
      </w:r>
    </w:p>
    <w:p>
      <w:r>
        <w:t>IT: GE_GERICHTE ATA/59/2011 del 1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- 7/13 - A/521/2010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contre un courrier revêtant les caractéristiques d’une décision au sens de l’art. 4 LPA, le recours est recevable (art. 56A ss de la loi sur l’organisation judiciaire du 22 novembre 1941 en vigueur jusqu’au 31 décembre 2010 - aLOJ - E 2 05 ; art. 63 al. 1 let. a LPA dans sa teneur en vigueur au 31 décembre 2010 ; ATA/555/2009 du 3 novembre 2009).</w:t>
      </w:r>
    </w:p>
    <w:p>
      <w:r>
        <w:rPr>
          <w:b/>
        </w:rPr>
        <w:t>E. 3</w:t>
      </w:r>
    </w:p>
    <w:p>
      <w:r>
        <w:t>Les TPG concluent préalablement à l'apport de l'arrêt B______ à la présente procédure.</w:t>
      </w:r>
    </w:p>
    <w:p>
      <w:r>
        <w:t>En tant que source du droit, la jurisprudence de la chambre administrative n'a pas besoin d'être versée à la procédure pour servir de fondement à la décision.</w:t>
      </w:r>
    </w:p>
    <w:p>
      <w:r>
        <w:t>Cette demande sera donc écartée.</w:t>
      </w:r>
    </w:p>
    <w:p>
      <w:r>
        <w:rPr>
          <w:b/>
        </w:rPr>
        <w:t>E. 4</w:t>
      </w:r>
    </w:p>
    <w:p>
      <w:r>
        <w:t>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w:t>
      </w:r>
    </w:p>
    <w:p>
      <w:r>
        <w:rPr>
          <w:b/>
        </w:rPr>
        <w:t>E. 5</w:t>
      </w:r>
    </w:p>
    <w:p>
      <w:r>
        <w:t>Selon l’art. 342 al. 1er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w:t>
      </w:r>
    </w:p>
    <w:p>
      <w:r>
        <w:t>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1er CO.</w:t>
      </w:r>
    </w:p>
    <w:p>
      <w:r>
        <w:rPr>
          <w:b/>
        </w:rPr>
        <w:t>E. 6</w:t>
      </w:r>
    </w:p>
    <w:p>
      <w:r>
        <w:t>Il convient préalablement de déterminer si les dispositions statutaires et réglementaires des TPG qui régissent les relations de travail avec les employés de cette entreprise sont visées par l’art. 342 al. 1er let. a CO.</w:t>
      </w:r>
    </w:p>
    <w:p>
      <w:r>
        <w:t>a. Selon l’art. 160C al. 3 de la Constitution de la République et canton de Genève du 24 mai 1847 (Cst.-GE - A 2 00), un établissement de droit public, soumis à la surveillance du Conseil d’Etat, est chargé de la gestion des transports</w:t>
      </w:r>
    </w:p>
    <w:p>
      <w:r>
        <w:t>555/2009</w:t>
      </w:r>
    </w:p>
    <w:p>
      <w:r>
        <w:t>- 8/13 - A/521/2010 publics. En application de cette disposition, le législateur a adopté la LTPG, instituant et chargeant les TPG de cette mission.</w:t>
      </w:r>
    </w:p>
    <w:p>
      <w:r>
        <w:t>b. Conformément à l’art. 9 al. 1er LTPG, l’administration des TPG est confiée à un conseil d’administration formé de :</w:t>
      </w:r>
    </w:p>
    <w:p>
      <w:r>
        <w:t>a) un membre de chaque parti représenté au Grand Conseil, désigné par ce dernier ;</w:t>
      </w:r>
    </w:p>
    <w:p>
      <w:r>
        <w:t>b) six membres, dont au moins un conseiller d’Etat, désignés par le Conseil d’Etat ;</w:t>
      </w:r>
    </w:p>
    <w:p>
      <w:r>
        <w:t>c) un membre, choisi en son sein, par le Conseil administratif de la ville de Genève ;</w:t>
      </w:r>
    </w:p>
    <w:p>
      <w:r>
        <w:t>d) un membre, choisi en son sein, par l’Association des communes genevoises ;</w:t>
      </w:r>
    </w:p>
    <w:p>
      <w:r>
        <w:t>e) un membre pour la région frontalière française, nommé par le Conseil d’Etat ;</w:t>
      </w:r>
    </w:p>
    <w:p>
      <w:r>
        <w:t>f) trois membres faisant partie du personnel des TPG, dont :</w:t>
      </w:r>
    </w:p>
    <w:p>
      <w:r>
        <w:t>- un agent gradé ou appartenant à l’administration, élu à bulletin secret, à la majorité simple, par les agents gradés et le personnel de l’administration ;</w:t>
      </w:r>
    </w:p>
    <w:p>
      <w:r>
        <w:t>- deux agents non gradés, élus à bulletin secret par le personnel non gradé, selon le système proportionnel appliqué à l’élection du Conseil national, à l’exception de la disposition concernant le cumul.</w:t>
      </w:r>
    </w:p>
    <w:p>
      <w:r>
        <w:t>Cette autorité est le pouvoir supérieur des TPG (art. 19 LTPG). La loi lui donne le pouvoir, notamment, d’établir le statut et de fixer les traitements, après consultation du personnel (art. 19 al. 2 let. o LTPG).</w:t>
      </w:r>
    </w:p>
    <w:p>
      <w:r>
        <w:t>c. Enfin, aux termes de l’art. 2 ch. 2 du statut, les employés des TPG sont liés à ces derniers par un rapport de droit public.</w:t>
      </w:r>
    </w:p>
    <w:p>
      <w:r>
        <w:t>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1er let. a CO.</w:t>
      </w:r>
    </w:p>
    <w:p>
      <w:r>
        <w:rPr>
          <w:b/>
        </w:rPr>
        <w:t>E. 7</w:t>
      </w:r>
    </w:p>
    <w:p>
      <w:r>
        <w:t>Le CO ne s’applique donc que si le statut et le RSP ne règlent pas exhaustivement la question de la rémunération des vacances ou que la réponse apportée par ces textes heurte un autre texte de rang fédéral (art. 342 al. 1er let. a</w:t>
      </w:r>
    </w:p>
    <w:p>
      <w:r>
        <w:t>- 9/13 - A/521/2010 CO et 49 al. 1er de la Constitution fédérale de la Confédération suisse du 18 avril 1999 (Cst. - RS 101).</w:t>
      </w:r>
    </w:p>
    <w:p>
      <w:r>
        <w:rPr>
          <w:b/>
        </w:rPr>
        <w:t>E.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w:t>
      </w:r>
    </w:p>
    <w:p>
      <w:r>
        <w:rPr>
          <w:b/>
        </w:rPr>
        <w:t>E. 9</w:t>
      </w:r>
    </w:p>
    <w:p>
      <w:r>
        <w:t>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w:t>
      </w:r>
    </w:p>
    <w:p>
      <w:r>
        <w:rPr>
          <w:b/>
        </w:rPr>
        <w:t>E. 10</w:t>
      </w:r>
    </w:p>
    <w:p>
      <w:r>
        <w:t>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1er RSP), du samedi, du dimanche et des jours fériés.</w:t>
      </w:r>
    </w:p>
    <w:p>
      <w:r>
        <w:t>Le traitement de base, déterminé par l’échelle des traitements (art. 22 du statut) et versé pendant les vacances, inclut le paiement de l’intégralité de l’horaire de travail.</w:t>
      </w:r>
    </w:p>
    <w:p>
      <w:r>
        <w:t>Le salaire afférent aux vacances comprend, dans cette mesure, une rémunération pour le travail de nuit, du samedi, du dimanche et des jours fériés (premier niveau de rémunération).</w:t>
      </w:r>
    </w:p>
    <w:p>
      <w:r>
        <w:rPr>
          <w:b/>
        </w:rPr>
        <w:t>E. 11</w:t>
      </w:r>
    </w:p>
    <w:p>
      <w:r>
        <w:t>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w:t>
      </w:r>
    </w:p>
    <w:p>
      <w:r>
        <w:t>- 10/13 - A/521/2010 (horaire effectif), la portion de temps correspondant à cette bonification (horaire fictif).</w:t>
      </w:r>
    </w:p>
    <w:p>
      <w:r>
        <w:t>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w:t>
      </w:r>
    </w:p>
    <w:p>
      <w:r>
        <w:rPr>
          <w:b/>
        </w:rPr>
        <w:t>E. 12</w:t>
      </w:r>
    </w:p>
    <w:p>
      <w:r>
        <w:t>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w:t>
      </w:r>
    </w:p>
    <w:p>
      <w:r>
        <w:t>La prime du travail de nuit est calculée par heure effective, une fraction d’heure étant arrondie à l’unité supérieure (art. 31 ch. 3 RSP).</w:t>
      </w:r>
    </w:p>
    <w:p>
      <w:r>
        <w:t>Celle octroyée pour le travail du samedi, du dimanche et des jours fériés est fixée à la journée, à la demi-journée ou à l’heure, selon qu’un horaire entier ou partiel est effectué par le chauffeur concerné (art. 32 RSP).</w:t>
      </w:r>
    </w:p>
    <w:p>
      <w:r>
        <w:t>Ces primes pour inconvénients ne sont pas incluses dans le traitement de base et, partant, dans le calcul du salaire afférent aux vacances.</w:t>
      </w:r>
    </w:p>
    <w:p>
      <w:r>
        <w:t>Seul ce troisième niveau de rémunération forme l’objet du litige, ainsi qu’en conviennent les parties.</w:t>
      </w:r>
    </w:p>
    <w:p>
      <w:r>
        <w:rPr>
          <w:b/>
        </w:rPr>
        <w:t>E. 13</w:t>
      </w:r>
    </w:p>
    <w:p>
      <w:r>
        <w:t>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w:t>
      </w:r>
    </w:p>
    <w:p>
      <w:r>
        <w:rPr>
          <w:b/>
        </w:rPr>
        <w:t>E. 14</w:t>
      </w:r>
    </w:p>
    <w:p>
      <w:r>
        <w:t>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w:t>
      </w:r>
    </w:p>
    <w:p>
      <w:r>
        <w:t>- 11/13 - A/521/2010 syndicats pendant les dix premières années démontre que la pratique aujourd’hui contestée par le recourant correspondait à ce qui avait été convenu et que l’interprétation soutenue par ce dernier emporte une modification du statut, au sens de la disposition précitée.</w:t>
      </w:r>
    </w:p>
    <w:p>
      <w:r>
        <w:rPr>
          <w:b/>
        </w:rPr>
        <w:t>E. 15</w:t>
      </w:r>
    </w:p>
    <w:p>
      <w:r>
        <w:t>De plus,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w:t>
      </w:r>
    </w:p>
    <w:p>
      <w:r>
        <w:t>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w:t>
      </w:r>
    </w:p>
    <w:p>
      <w:r>
        <w:rPr>
          <w:b/>
        </w:rPr>
        <w:t>E. 16</w:t>
      </w:r>
    </w:p>
    <w:p>
      <w:r>
        <w:t>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w:t>
      </w:r>
    </w:p>
    <w:p>
      <w:r>
        <w:rPr>
          <w:b/>
        </w:rPr>
        <w:t>E. 17</w:t>
      </w:r>
    </w:p>
    <w:p>
      <w:r>
        <w:t>Il résulte de cette analyse que le statut et le RSP excluent expressément le paiement de ces primes et qu’en conséquence l’art. 329d CO ne trouve pas application.</w:t>
      </w:r>
    </w:p>
    <w:p>
      <w:r>
        <w:rPr>
          <w:b/>
        </w:rPr>
        <w:t>E. 18</w:t>
      </w:r>
    </w:p>
    <w:p>
      <w:r>
        <w:t>Le recours sera en conséquence rejeté.</w:t>
      </w:r>
    </w:p>
    <w:p>
      <w:r>
        <w:rPr>
          <w:b/>
        </w:rPr>
        <w:t>E. 19</w:t>
      </w:r>
    </w:p>
    <w:p>
      <w:r>
        <w:t>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