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ATA/59/2009 vom 3. Februar 2009</w:t>
      </w:r>
    </w:p>
    <w:p>
      <w:r>
        <w:t>GE Cour de justice, 2009-02-03, FR</w:t>
      </w:r>
    </w:p>
    <w:p>
      <w:r>
        <w:rPr>
          <w:b/>
        </w:rPr>
        <w:t xml:space="preserve">Quelle: </w:t>
      </w:r>
      <w:r>
        <w:t>https://mcp.opencaselaw.ch/entscheid/ge_gerichte_ATA_59_2009</w:t>
      </w:r>
    </w:p>
    <w:p>
      <w:r>
        <w:t>FR: GE_GERICHTE ATA/59/2009 du 3 février 2009</w:t>
      </w:r>
    </w:p>
    <w:p>
      <w:r>
        <w:t>IT: GE_GERICHTE ATA/59/2009 del 3 febbraio 2009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Par ailleurs, la requérante se trouve être l'enfant mineure. Partant, la situation financière de sa représentante légale n'est pas relevante.</w:t>
      </w:r>
    </w:p>
    <w:p>
      <w:r>
        <w:rPr>
          <w:b/>
        </w:rPr>
        <w:t>E. 6</w:t>
      </w:r>
    </w:p>
    <w:p>
      <w:r>
        <w:t>En conséquence, le recours sera admis : la facture du 25 janvier 2008 et le rappel du 31 mars 2008 seront annulés. Vu l'issue du litige, un émolument de CHF 300.- sera mis à la charge de l’intimé, le nouveau règlement sur les frais, émoluments et indemnités en procédure administrative du 7 janvier 2009 (E 5 10.03) entré en vigueur le 1er janvier 2009, ne dispensant des frais l’administration que lorsque cette dernière est recourante 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