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ATA/598/2008 vom 25. November 2008</w:t>
      </w:r>
    </w:p>
    <w:p>
      <w:r>
        <w:t>GE Cour de justice, 2008-11-25, FR</w:t>
      </w:r>
    </w:p>
    <w:p>
      <w:r>
        <w:rPr>
          <w:b/>
        </w:rPr>
        <w:t xml:space="preserve">Quelle: </w:t>
      </w:r>
      <w:r>
        <w:t>https://mcp.opencaselaw.ch/entscheid/ge_gerichte_ATA_598_2008</w:t>
      </w:r>
    </w:p>
    <w:p>
      <w:r>
        <w:t>FR: GE_GERICHTE ATA/598/2008 du 25 novembre 2008</w:t>
      </w:r>
    </w:p>
    <w:p>
      <w:r>
        <w:t>IT: GE_GERICHTE ATA/598/2008 del 25 novembre 2008</w:t>
      </w:r>
    </w:p>
    <w:p>
      <w:pPr>
        <w:pStyle w:val="Heading2"/>
      </w:pPr>
      <w:r>
        <w:t>Erwägungen</w:t>
      </w:r>
    </w:p>
    <w:p>
      <w:r>
        <w:rPr>
          <w:b/>
        </w:rPr>
        <w:t>E. 1</w:t>
      </w:r>
    </w:p>
    <w:p>
      <w:r>
        <w:t>La recevabilité du recours de la contribuable a déjà été admise dans la décision sur expertise rendue par le Tribunal administratif le 28 août 2007.</w:t>
      </w:r>
    </w:p>
    <w:p>
      <w:r>
        <w:rPr>
          <w:b/>
        </w:rPr>
        <w:t>E. 2</w:t>
      </w:r>
    </w:p>
    <w:p>
      <w:r>
        <w:t>Le 1er janvier 2001, de nouvelles dispositions fiscales sont entrées en vigueur, qui ont modifié ou abrogé la plupart des dispositions de la loi générale sur les contributions publiques du 9 novembre 1887 (LCP - D 3 05).</w:t>
      </w:r>
    </w:p>
    <w:p>
      <w:r>
        <w:t>La taxation litigieuse portant sur l'année fiscale 2001 sera examinée sous l'angle des nouvelles dispositions.</w:t>
      </w:r>
    </w:p>
    <w:p>
      <w:r>
        <w:rPr>
          <w:b/>
        </w:rPr>
        <w:t>E. 3</w:t>
      </w:r>
    </w:p>
    <w:p>
      <w:r>
        <w:t>Selon l'article 11 de la loi sur l’imposition des personnes morales du 23 septembre 1994 (LIPM - D 3 15), l'impôt sur le bénéfice a pour objet le bénéfice net, qui comprend notamment les allocations volontaires à des tiers et les prestations de toute nature fournies gratuitement à des tiers ou à des actionnaires de la société (art. 12 let. h LIPM).</w:t>
      </w:r>
    </w:p>
    <w:p>
      <w:r>
        <w:t>Selon la jurisprudence du Tribunal fédéral, la valeur économique d'un bien se mesure au prix que des tiers, sur un marché libre et ouvert, seraient disposés à payer pour en bénéficier (ATF 107 1b 325). Ainsi que le relève la commission, l'application de ce principe conduit à retenir, en l’espèce, non pas le loyer que la recourante perçoit de sa locataire, mais la valeur locative qu’un tiers serait prêt à payer, dans un marché tel que décrit ci-dessus.</w:t>
      </w:r>
    </w:p>
    <w:p>
      <w:r>
        <w:rPr>
          <w:b/>
        </w:rPr>
        <w:t>E. 4</w:t>
      </w:r>
    </w:p>
    <w:p>
      <w:r>
        <w:t>En l'espèce, la valeur locative déterminée par l’expert judiciaire est équivalente à celle retenue par l’AFC. De plus, la recourante ne critique pas la méthode utilisée par l'expert judiciaire pour la déterminer. Elle accepte même le résultat d'expertise, même si la valeur retenue lui paraît excessive.</w:t>
      </w:r>
    </w:p>
    <w:p>
      <w:r>
        <w:t>Dans ces circonstances, le Tribunal administratif admettra que la valeur locative du hangar litigieux est de CHF 19’820.-, ainsi que l'ont retenu tant l’AFC que la commission et l'expert judiciaire mandaté par le Tribunal administratif.</w:t>
      </w:r>
    </w:p>
    <w:p>
      <w:r>
        <w:rPr>
          <w:b/>
        </w:rPr>
        <w:t>E. 5</w:t>
      </w:r>
    </w:p>
    <w:p>
      <w:r>
        <w:t>Au vu de cette issue, un émolument de procédure, arrêté à CHF 1’500.-, de même que les frais d’expertise, s’élevant à CHF 500.-, seront mis à la charge de la recourante, qui succombe (art. 87 LPA). * * * * *</w:t>
      </w:r>
    </w:p>
    <w:p>
      <w:r>
        <w:t>- 4/4 - A/162/2007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