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ATA/597/2014 vom 29. Juli 2014</w:t>
      </w:r>
    </w:p>
    <w:p>
      <w:r>
        <w:t>GE Cour de justice, 2014-07-29, FR</w:t>
      </w:r>
    </w:p>
    <w:p>
      <w:r>
        <w:rPr>
          <w:b/>
        </w:rPr>
        <w:t xml:space="preserve">Quelle: </w:t>
      </w:r>
      <w:r>
        <w:t>https://mcp.opencaselaw.ch/entscheid/ge_gerichte_ATA_597_2014</w:t>
      </w:r>
    </w:p>
    <w:p>
      <w:r>
        <w:t>FR: GE_GERICHTE ATA/597/2014 du 29 juillet 2014</w:t>
      </w:r>
    </w:p>
    <w:p>
      <w:r>
        <w:t>IT: GE_GERICHTE ATA/597/2014 del 29 luglio 2014</w:t>
      </w:r>
    </w:p>
    <w:p>
      <w:pPr>
        <w:pStyle w:val="Heading2"/>
      </w:pPr>
      <w:r>
        <w:t>Regeste</w:t>
      </w:r>
    </w:p>
    <w:p>
      <w:r>
        <w:t>Résumé: Confirmation d'une amende pour avoir persévéré à vouloir violer des autorisations de construire antérieures et mis constamment le DALE devant le fait accompli.</w:t>
      </w:r>
    </w:p>
    <w:p>
      <w:pPr>
        <w:pStyle w:val="Heading2"/>
      </w:pPr>
      <w:r>
        <w:t>Erwägungen</w:t>
      </w:r>
    </w:p>
    <w:p>
      <w:r>
        <w:rPr>
          <w:b/>
        </w:rPr>
        <w:t>E. 14</w:t>
      </w:r>
    </w:p>
    <w:p>
      <w:r>
        <w:t>avril 1988 (LCI – L 5 05), est passible d'une amende administrative de CHF 100.- à CHF 150'000.- tout contrevenant à la LCI, à ses règlements d'application ainsi qu'aux ordres du département. Toutefois, lorsqu'une construction, une installation ou tout autre ouvrage a été entrepris sans autorisation mais que les travaux sont conformes aux prescriptions légales, le montant maximum de l'amende est de CHF 20'000.- (art. 137 al. 2 LCI).</w:t>
      </w:r>
    </w:p>
    <w:p>
      <w:r>
        <w:t>Il est tenu compte, dans la fixation du montant de l'amende, du degré de gravité de l'infraction, la violation des prescriptions susmentionnées par cupidité et les cas de récidive constituant notamment des circonstances aggravantes (art. 137 al. 3 LCI).</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w:t>
      </w:r>
    </w:p>
    <w:p>
      <w:r>
        <w:t>Il est ainsi nécessaire que le contrevenant ait commis une faute, fût-ce sous la forme d’une simple négligence (Ulrich HÄFELIN/Georg MÜLLER/Felix UHLMANN, Allgemeines Verwaltungsrecht, 2006, p. 252 n. 1’179). Selon la jurisprudence constante, l’administration doit faire preuve de sévérité afin</w:t>
      </w:r>
    </w:p>
    <w:p>
      <w:r>
        <w:t>- 8/11 - A/3468/2012 d’assurer le respect de la loi et jouit d’un large pouvoir d’appréciation pour infliger une amende (ATA/74/2013 précité et les arrêts cités). La chambre de céans ne la censure qu’en cas d’excès ou d'abus (ATA/160/2009 du 31 mars 2009). Enfin, l’amende doit respecter le principe de la proportionnalité (art. 36 al. 3 de la Constitution fédérale de la Confédération suisse du 18 avril 1999 - Cst. - RS 101 ; ATA/61/2014 du 4 février 2014 ; ATA/74/2013 précité et les arrêts cités).</w:t>
      </w:r>
    </w:p>
    <w:p>
      <w:r>
        <w:t>L’autorité qui prononce une mesure administrative ayant le caractère d’une sanction doit également faire application des règles contenues aux art. 47 ss du code pénal suisse du 21 décembre 1937 (CP – RS 311.0)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 L’autorité doit en outre faire application des règles contenues à l’art. 49 CP, lorsque par un ou plusieurs actes, le même administré encourt plusieurs sanctions, le juge le condamne à la peine de l’infraction la plus grave et l’augmente dans une juste proportion (Arrêt du Tribunal fédéral 6B_111/2010 du 29 juin 2010 consid. 2 ; ATA/260/2014 du 15 avril 2014 consid. 17).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ATA/135/2011 du 1er mars 2011).</w:t>
      </w:r>
    </w:p>
    <w:p>
      <w:r>
        <w:t>b. En l’espèce, le département a, dans la décision querellée, infligé au recourant une amende de CHF 3'000.-, pour avoir fait fi des autorisations de construire n° 5______ et APA 7______, en maintenant des appareils de fitness affectés à des activités sportives dans une serre vouée à la culture.</w:t>
      </w:r>
    </w:p>
    <w:p>
      <w:r>
        <w:t>Selon le recourant, il n’avait commis aucune infraction et n’avait pas violé lesdites autorisations. Le point 7 de celle n° 5______, imposant que la serre soit consacrée à la culture, était nul, car il n’y avait pas eu de changement d’affectation, vu que la présence de deux appareils de fitness dans la serre ne constituait pas un tel changement. De plus, l’APA 7______ ne faisait aucune allusion à l’affectation de la serre. Partant, ces deux autorisations de construire ne pouvaient servir de base à la décision litigieuse.</w:t>
      </w:r>
    </w:p>
    <w:p>
      <w:r>
        <w:t>La chambre de céans ne saurait suivre ce raisonnement. En effet, le recourant savait que la serre devait être utilisée comme serre de culture. Dans les plans qu’il a lui-même transmis au DALE dans sa demande d’autorisation de construire complémentaire n° 4______, la serre devait être répartie en un atelier</w:t>
      </w:r>
    </w:p>
    <w:p>
      <w:r>
        <w:t>- 9/11 - A/3468/2012 de dessin et de sculpture, une serre de culture et d’observation et un jardin d’hiver. Lesdits plans ne faisaient pas mention d’une partie fitness, alors même qu’elle existait, ce qui a été constaté lors du contrôle du 5 octobre 2010. Au vu de ce constat, dans sa décision du 13 décembre 2010, le DALE a ordonné à M. A______, dans un délai de trente jours, de déposer une demande d’autorisation de construire au regard du changement d’affectation de la serre ou pour rétablir la situation antérieure. À la suite de quoi, le recourant a déposé la demande complémentaire n° 5______, sans solliciter de changement d’affectation, raison pour laquelle le DALE a stipulé au point 7 de l’autorisation afférente, que la serre était uniquement affectée à une serre de culture. Le recourant savait donc que la présence des engins de fitness entraînait un changement d’affectation. M. A______ a donc bien commis une infraction en ne respectant pas toutes les autorisations de construire précitées, qu’elles aient ou non explicitement énoncé l’affectation de la serre.</w:t>
      </w:r>
    </w:p>
    <w:p>
      <w:r>
        <w:t>De plus, le recourant soutient qu’il n’a commis aucune infraction en conservant les appareils de fitness dans la serre, le DALE ayant toléré cette situation qui ne pouvait dès lors être sanctionnée après coup. La décision du 11 août 2011, entrée en force, faisait uniquement référence à la présence d’éléments sanitaires dans la serre et non à celle relative aux éléments de fitness, alors même que le DALE connaissait leur présence. Le département avait créé une expectative, sur laquelle M. A______ s’était fondé de bonne foi.</w:t>
      </w:r>
    </w:p>
    <w:p>
      <w:r>
        <w:t>Ce raisonnement n’est pas soutenable. En effet, comme expliqué ci-dessus, le DALE n’a jamais, même implicitement, autorisé la présence d’appareils de fitness dans la serre, et pour cause. Au regard de la chronologie du dossier, la décision du 11 août 2011 intervient suite au dépôt de la demande d’autorisation de construire n° DD 5______, ne prévoyant aucun changement d’affectation de la serre, d’où le point 7. Ce n’est qu’en date du 9 novembre 2011 que le département a constaté que M. A______ persistait à maintenir les appareils de fitness, alors même qu’il n’avait pas requis de changement d’affectation. Le DALE n’a donc jamais toléré la présence desdits appareils et n’a pas créée d’expectative sur laquelle M. A______ pouvait se fier.</w:t>
      </w:r>
    </w:p>
    <w:p>
      <w:r>
        <w:t>La manière d’agir de M. A______, soit de mettre le département devant le fait accompli, est systématique. En effet, à la lecture du dossier, il appert qu’il a constamment mis le DALE devant le fait qu’il avait engagé des travaux, sans requérir en amont les autorisations de construire nécessaires. Le département a dû rendre quatre autorisations de construire pour que la serre et ses installations soient conformes à la législation en vigueur et il a fallu procéder à trois contrôles pour constater, à chaque fois, que M. A______ ne respectait pas les autorisations de construire délivrées antérieurement. Cette manière de procéder ne peut être tolérée par le département.</w:t>
      </w:r>
    </w:p>
    <w:p>
      <w:r>
        <w:t>- 10/11 - A/3468/2012</w:t>
      </w:r>
    </w:p>
    <w:p>
      <w:r>
        <w:t>Toutefois, il sied de préciser que l’amende querellée de CHF 3’000.- sanctionne la violation de l’autorisation de construire n° 5______, soit le maintien d’appareils de fitness dans une serre de culture, alors que celle de CHF 10'000.-, infligée dans la décision du 11 août 2011, sanctionne le fait que M. A______ ait engagé des travaux de transformation de la serre et des aménagements extérieurs, sans autorisation préalable, ce qui a été constaté le 5 octobre 2010. Au regard des principes pénaux énoncés ci-dessus, l’amende litigieuse constitue une peine complémentaire. En effet, M. A______ s’est vu infliger par le DALE l’amende litigieuse en date du 17 octobre 2012, et ce, avant que l’amende de CHF 10'000.- soit définitive. Il ne ressort pas du dossier que le TAPI ait été informé de la décision du 17 octobre 2012 avant le prononcé du jugement précité. Ainsi, bien que la gravité tant objective que subjective de l’infraction commise par M. A______ soit établie et que le TAPI n’ait pas abusé de son pouvoir d’appréciation, il sied de réduire l’amende de CHF 3'000.- à un montant de CHF 2'000.-. 4)</w:t>
      </w:r>
    </w:p>
    <w:p>
      <w:r>
        <w:t>Au vu de ce qui précède, le recours sera partiellement admis. 5)</w:t>
      </w:r>
    </w:p>
    <w:p>
      <w:r>
        <w:t>Vu l’issue du litige, et le fait que M. A______ succombe sur la majeure partie du litige un émolument de CHF 700.- sera mis à sa charge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