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ATA/596/2024 vom 14. Mai 2024</w:t>
      </w:r>
    </w:p>
    <w:p>
      <w:r>
        <w:t>GE Cour de justice, 2024-05-14, FR</w:t>
      </w:r>
    </w:p>
    <w:p>
      <w:r>
        <w:rPr>
          <w:b/>
        </w:rPr>
        <w:t xml:space="preserve">Quelle: </w:t>
      </w:r>
      <w:r>
        <w:t>https://mcp.opencaselaw.ch/entscheid/ge_gerichte_ATA_596_2024</w:t>
      </w:r>
    </w:p>
    <w:p>
      <w:r>
        <w:t>FR: GE_GERICHTE ATA/596/2024 du 14 mai 2024</w:t>
      </w:r>
    </w:p>
    <w:p>
      <w:r>
        <w:t>IT: GE_GERICHTE ATA/596/2024 del 14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fonde désormais sa demande d’autorisation de séjour pour elle et son fils exclusivement sur l’art. 8 CEDH, protégeant le droit au respect de la vie privée et familiale, au motif que son fils ne peut être séparé de son père, qui est au bénéfice d’une autorisation d’établissement.</w:t>
      </w:r>
    </w:p>
    <w:p>
      <w:r>
        <w:rPr>
          <w:b/>
        </w:rPr>
        <w:t>E. 2.1</w:t>
      </w:r>
    </w:p>
    <w:p>
      <w:r>
        <w:t>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Un étranger peut également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2.2</w:t>
      </w:r>
    </w:p>
    <w:p>
      <w:r>
        <w:t>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Dès lors que l’examen du respect du principe de la proportionnalité se rapproche de l’examen des circonstances à faire</w:t>
      </w:r>
    </w:p>
    <w:p>
      <w:r>
        <w:t>- 10/14 - A/2475/2023 pour déterminer l’existence d’un cas de rigueur, il se justifie de s’y référer (ATF 139 I 145 consid. 2.4).</w:t>
      </w:r>
    </w:p>
    <w:p>
      <w:r>
        <w:rPr>
          <w:b/>
        </w:rPr>
        <w:t>E. 2.3</w:t>
      </w:r>
    </w:p>
    <w:p>
      <w:r>
        <w:t>À teneur de l'art. 31 al. 1 OASA, lors de l'appréciation de l'existence d'un cas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w:t>
      </w:r>
    </w:p>
    <w:p>
      <w:r>
        <w:rPr>
          <w:b/>
        </w:rPr>
        <w:t>E. 2.4</w:t>
      </w:r>
    </w:p>
    <w:p>
      <w:r>
        <w:t>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ATA/678/2020 du 21 juillet 2020 consid. 5a ; ATA/1694/2019 précité consid. 4b).</w:t>
      </w:r>
    </w:p>
    <w:p>
      <w:r>
        <w:rPr>
          <w:b/>
        </w:rPr>
        <w:t>E. 2.5</w:t>
      </w:r>
    </w:p>
    <w:p>
      <w:r>
        <w:t>La réintégration sociale dans le pays d'origine doit sembler fortement compromise.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w:t>
      </w:r>
    </w:p>
    <w:p>
      <w:r>
        <w:rPr>
          <w:b/>
        </w:rPr>
        <w:t>E. 2.6</w:t>
      </w:r>
    </w:p>
    <w:p>
      <w:r>
        <w:t>En l’espèce, la recourante est arrivée en Suisse en décembre 2017, soit il y a plus de sept ans. Son séjour était autorisé jusqu’en juillet 2020, en vue d’accomplir un Master en sciences infirmières en juin 2021. Confrontée à un important problème de santé, elle n’a pas pu acquérir les connaissances linguistiques de français pré-requises. Cela étant, alors qu’elle a recouvré, selon le certificat médical du Dr D______ du 23 juillet 2021, toute sa capacité pour se préparer et se présenter à l’examen de français, la recourante n’a alors pas repris ses études. Ainsi, le motif pour lequel elle a été autorisée à séjourner en Suisse n’est plus réalisé. À teneur du dossier, la recourante a effectué un stage auprès du M______ d’avril 2022 à avril 2023 en qualité de vendeuse-caissière, a travaillé à compter du 29 septembre 2023 comme serveuse auprès de J______ et a été engagée le 1er</w:t>
      </w:r>
    </w:p>
    <w:p>
      <w:r>
        <w:t>- 11/14 - A/2475/2023 décembre 2023 par L______, également en qualité de serveuse. Au vu de ce parcours, la recourante ne peut se prévaloir d’une intégration professionnelle particulièrement remarquable. Elle ne présente pas non plus une intégration sociale particulièrement réussie. En effet, elle a dépendu de l’aide sociale, malgré l’engagement de soutien financier produit avec sa demande d’autorisation de séjour pour études. Elle ne soutient par ailleurs pas s’être d’une quelconque manière investie dans la vie sociale, culturelle ou associative à Genève ; son stage auprès du M______ne s’inscrivait pas dans une telle démarche, mais visait à l’intégrer dans le marché du travail. Elle n’allègue pas non plus avoir tissé à Genève, hormis avec son fils, des relations d’amitié ou affectives d’une intensité telle qu’il ne pourrait être exigé de sa part de les poursuivre, une fois de retour dans son pays d’origine, par la voie des moyens de communication moderne. Par ailleurs, il n’apparaît pas que la réintégration socio-professionnelle de la recourante serait gravement compromise. En effet, elle a grandi en Albanie, y a accompli une formation et exercé deux activités professionnelles. Elle est ainsi familière des us et coutume de son pays et son expérience professionnelle passée, à laquelle s’ajoutent les rudiments de connaissances de la langue française nécessairement acquis ces dernières années à Genève, sont susceptibles de faciliter tant sa réintégration sociale que professionnelle. La recourante ne fait, à cet égard, plus valoir que la famille du père de son enfant pourrait constituer pour elle ou B______ un quelconque danger. Un tel danger n’est, à teneur du dossier, pas non plus vraisemblable. En outre, son état de santé semble stable, celui-ci ne nécessitant plus de traitement médical depuis plusieurs années. En tant qu’elle se prévaut de la paternité désormais judiciairement établie de H______ sur son fils pour invoquer la protection de l’art. 8 CEDH, elle ne peut être suivie. En effet, ladite protection n’entre en ligne de compte que si la personne qui souhaite en bénéficier entretient des relations personnelles effectives avec une personne disposant d’un titre de séjour en Suisse. Or, le père de l’enfant n’a pas participé à la procédure en constatation de paternité, a tenu des propos grossiers à l’égard de la recourante, faisant clairement comprendre qu’il se désintéressait de son enfant et n’entretient aucun contact avec ce dernier. Ainsi, quand bien même la curatrice de B______ parviendrait à obtenir la fixation d’une contribution d’entretien à verser par H______ et que ce dernier la verserait, l’absence de relations personnelles régulières et effectives entre le père et le fils s’oppose à retenir que les conditions permettant d’accorder à l’enfant – et par ricochet à sa mère qui en assume la garde – une autorisation de séjour fondée sur l’art. 8 CEDH seraient réunies. Au vu de ce qui précède, l’OCPM n’a ni violé la loi ni commis un abus de son pouvoir d’appréciation en refusant d’octroyer à la recourante et son fils une autorisation de séjour.</w:t>
      </w:r>
    </w:p>
    <w:p>
      <w:r>
        <w:rPr>
          <w:b/>
        </w:rPr>
        <w:t>E. 3</w:t>
      </w:r>
    </w:p>
    <w:p>
      <w:r>
        <w:t>Il convient encore d’examiner si le renvoi prononcé par l’OCPM est fondé.</w:t>
      </w:r>
    </w:p>
    <w:p>
      <w:r>
        <w:t>- 12/14 - A/2475/2023</w:t>
      </w:r>
    </w:p>
    <w:p>
      <w:r>
        <w:rPr>
          <w:b/>
        </w:rPr>
        <w:t>E. 3.1</w:t>
      </w:r>
    </w:p>
    <w:p>
      <w:r>
        <w:t>Selon l'art. 64 al. 1 let. c LEI, l'autorité compétente rend une décision de renvoi ordinaire à l'encontre d'un étranger auquel l'autorisation de séjour est refusée ou dont l'autorisation n'est pas prolongée. Le renvoi ne peut être ordonné que si l'exécution de celui-ci est possible, licite ou peut être raisonnablement exigée (art. 83 al. 1 LEI).</w:t>
      </w:r>
    </w:p>
    <w:p>
      <w:r>
        <w:rPr>
          <w:b/>
        </w:rPr>
        <w:t>E. 3.2</w:t>
      </w:r>
    </w:p>
    <w:p>
      <w:r>
        <w:t>En l'espèce, dès lors qu'il a, à juste titre, refusé l’octroi d’une autorisation de séjour à la recourante et son fils, l'intimé devait prononcer leur renvoi. La recourante ne fait plus valoir que son renvoi ne serait ni possible ni licite ou ne pourrait raisonnablement être exigé ; de tels éléments ne ressortent pas non plus du dossier. Mal fondé, le recours sera rejeté.</w:t>
      </w:r>
    </w:p>
    <w:p>
      <w:r>
        <w:rPr>
          <w:b/>
        </w:rPr>
        <w:t>E. 4</w:t>
      </w:r>
    </w:p>
    <w:p>
      <w:r>
        <w:t>Vu l'issue du recours, un émolument de CHF 400.- sera mis à la charge de la recourante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