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ATA/596/2020 vom 16. Juni 2020</w:t>
      </w:r>
    </w:p>
    <w:p>
      <w:r>
        <w:t>GE Cour de justice, 2020-06-16, FR</w:t>
      </w:r>
    </w:p>
    <w:p>
      <w:r>
        <w:rPr>
          <w:b/>
        </w:rPr>
        <w:t xml:space="preserve">Quelle: </w:t>
      </w:r>
      <w:r>
        <w:t>https://mcp.opencaselaw.ch/entscheid/ge_gerichte_ATA_596_2020</w:t>
      </w:r>
    </w:p>
    <w:p>
      <w:r>
        <w:t>FR: GE_GERICHTE ATA/596/2020 du 16 juin 2020</w:t>
      </w:r>
    </w:p>
    <w:p>
      <w:r>
        <w:t>IT: GE_GERICHTE ATA/596/2020 del 16 giugno 2020</w:t>
      </w:r>
    </w:p>
    <w:p>
      <w:pPr>
        <w:pStyle w:val="Heading2"/>
      </w:pPr>
      <w:r>
        <w:t>Erwägungen</w:t>
      </w:r>
    </w:p>
    <w:p>
      <w:r>
        <w:rPr>
          <w:b/>
        </w:rPr>
        <w:t>E. 12</w:t>
      </w:r>
    </w:p>
    <w:p>
      <w:r>
        <w:t>septembre 1985 - LPA - E 5 10).</w:t>
      </w:r>
    </w:p>
    <w:p>
      <w:r>
        <w:t>- 4/8 - A/1378/2020 2) a. Selon l'art. 65 LPA, l'acte de recours contient, sous peine d'irrecevabilité, la désignation de la décision attaquée et les conclusions du recourant (al. 1). Il contient également l'exposé des motifs ainsi que l'indication des moyens de preuve (al. 2).</w:t>
      </w:r>
    </w:p>
    <w:p>
      <w:r>
        <w:t>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(ATA/821/2018 du 14 août 2018 consid. 2 ; ATA/1243/2017 du 29 août 2017 consid. 2a).</w:t>
      </w:r>
    </w:p>
    <w:p>
      <w:r>
        <w:t>c. En l'espèce, le recourant n'a pas pris de conclusions formelles en annulation de la décision. L'on comprend toutefois de son recours qu'il conteste le bien-fondé de la décision du DIP. Le recours est ainsi recevable. 3) a. Aux termes de l’art. 24 al. 1 let. c de la loi sur l’instruction publique du</w:t>
      </w:r>
    </w:p>
    <w:p>
      <w:r>
        <w:rPr>
          <w:b/>
        </w:rPr>
        <w:t>E. 17</w:t>
      </w:r>
    </w:p>
    <w:p>
      <w:r>
        <w:t>septembre 2015 (LIP - C 1 10), en référence aux finalités de l’école publique décrites à l’art. 10,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w:t>
      </w:r>
    </w:p>
    <w:p>
      <w:r>
        <w:t>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w:t>
      </w:r>
    </w:p>
    <w:p>
      <w:r>
        <w:t>b. Le canton contribue à la promotion des jeunes talents sportifs présentant un niveau d’aptitudes particulièrement élevé par le biais du programme sport-art- études et par le soutien à des centres nationaux et régionaux de performance (art. 15 de la loi sur le sport du 14 mars 2014 (LSport - C 1 50).</w:t>
      </w:r>
    </w:p>
    <w:p>
      <w:r>
        <w:t>c. Le DIP comprend le service écoles et sport, art, citoyenneté (ci-après : SÉSAC ; art. 4 al. 1 let. f règlement sur l'organisation de l'administration cantonale du 1er juin 2018 - ROAC - B 4 05.10).</w:t>
      </w:r>
    </w:p>
    <w:p>
      <w:r>
        <w:t>d. Selon la brochure explicative, disponible sur le site de l’État, le dispositif SAE est une prestation offerte aux talents qui pratiquent de manière intensive une</w:t>
      </w:r>
    </w:p>
    <w:p>
      <w:r>
        <w:t>- 5/8 - A/1378/2020 discipline sportive ou artistique. S’agissant des sportifs, il est exclusivement destiné aux talents pratiquant un sport individuel ou collectif reconnu par Jeunesse et Sport, et prioritairement aux disciplines qui possèdent un concept national de promotion de la relève auprès de Swiss Olympic.</w:t>
      </w:r>
    </w:p>
    <w:p>
      <w:r>
        <w:t>Les performances et niveaux minimums requis présentés dans la brochure ont été établis par le SÉSAC, en collaboration avec les responsables cantonaux ou nationaux de chacune des disciplines et en lien avec la politique de Swiss Olympic pour ce qui est des disciplines sportives. La pratique intensive de la discipline artistique ou sportive doit être attestée officiellement.</w:t>
      </w:r>
    </w:p>
    <w:p>
      <w:r>
        <w:t>Pour déposer un dossier d'admission dans le dispositif SAE, le sportif doit consacrer au minimum dix heures d'entraînement à sa discipline, du lundi au vendredi. Si l’élève remplit au moins l’une des conditions suivantes au moment du dépôt du dossier, il peut déposer une demande d’admission ou de maintien. Pour les sports individuels, l’élève doit remplir au moins une des conditions suivantes : 1. posséder une Swiss Olympic Talent Card Régionale ou Nationale valide ; 2. faire partie d’une équipe nationale ou d’un cadre national ; 3. participer à un championnat de ligue nationale A. Il doit fournir comme justificatif, une copie de la Swiss Olympic Talent Card ou attestation de la Fédération nationale ou de l’équipe de ligue nationale A.</w:t>
      </w:r>
    </w:p>
    <w:p>
      <w:r>
        <w:t>L’admission dans le dispositif SAE n’est pas automatique et est notamment conditionnée au nombre de places disponibles ainsi qu’à des critères de résultats qui doivent être remplis à la date de dépôt du dossier, fixée au 28 février 2020 pour l’année scolaire 2020-2021 (https://www.ge.ch/sport-art-etudes/secondaire- ii-formation-generale-sae consulté le 10 juin 2020). 4) a. Conformément à l’art. 61 al. 1 LPA, le recours peut être formé :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w:t>
      </w:r>
    </w:p>
    <w:p>
      <w:r>
        <w:t>Lorsque l’admission à un parcours de formation est fondée sur l’examen d’un dossier ou l’évaluation de qualités spécifiques telles des qualités artistiques, l’autorité scolaire jouit d’un très large pouvoir d’appréciation (ATA/685/2016 du 16 août 2016 consid. 9b) et le pouvoir de l’autorité de recours est extrêmement restreint à l’instar de ce qui prévaut en matière d’examens (ATA/681/2014 du 26 août 2014 consid. 5), sauf pour les griefs de nature formelle, que celle-là peut revoir avec un plein pouvoir d’examen. En principe, la chambre administrative, dans ce domaine, n’annule donc le prononcé attaqué que si l’autorité intimée s’est laissée guider par des motifs sans rapport avec la nature de l’évaluation qui lui est demandée ou, d’une autre manière manifestement insoutenable (ATF 121 I 225 consid. 4d ; 118 Ia 488 consid. 4c ; ATA/681/2014 précité consid. 5).</w:t>
      </w:r>
    </w:p>
    <w:p>
      <w:r>
        <w:t>- 6/8 - A/1378/2020</w:t>
      </w:r>
    </w:p>
    <w:p>
      <w:r>
        <w:t>b. Dans une jurisprudence constante, la chambre de céans a confirmé les modalités mises en place par le DIP, selon lesquelles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(ATA/752/2018 du</w:t>
      </w:r>
    </w:p>
    <w:p>
      <w:r>
        <w:rPr>
          <w:b/>
        </w:rPr>
        <w:t>E. 18</w:t>
      </w:r>
    </w:p>
    <w:p>
      <w:r>
        <w:t>juillet 2018 consid. 3b ; ATA/1134/2017 du 2 août 2017 consid. 4 ; ATA/683/2016 du 26 août 2016 consid. 3 et les références citées). 5)</w:t>
      </w:r>
    </w:p>
    <w:p>
      <w:r>
        <w:t>En l’espèce, il n’est pas contesté qu’à la date limite de dépôt des dossiers, soit le 28 février 2020, le recourant ne remplissait pas les critères lui permettant de prétendre à son adhésion dans le dispositif SAE en voile pour l’année scolaire 2020-2021. En effet, il ne possédait pas une Swiss Olympic Talent Card Régionale ou Nationale valide, ne faisait pas partie d’une équipe nationale ou d’un cadre national et ne participait pas à un championnat de ligue nationale A. Fondée sur ce critère objectif, la décision du DIP est ainsi conforme au droit.</w:t>
      </w:r>
    </w:p>
    <w:p>
      <w:r>
        <w:t>Les arguments énoncés par le recourant dans son recours – investissement important dans ce sport, potentielle fatigue en cas de scolarisation usuelle, progression prometteuse, très probable intégration dans la Swiss Olympic National Talent Pool dès cet automne – ne sont pas pertinents par rapport à la législation et à la jurisprudence citées plus haut, nécessaires à une application du principe de l’égalité de traitement.</w:t>
      </w:r>
    </w:p>
    <w:p>
      <w:r>
        <w:t>En rejetant la requête du recourant le DIP a fait une correcte application du droit sans abuser de son large pouvoir d’appréciation.</w:t>
      </w:r>
    </w:p>
    <w:p>
      <w:r>
        <w:t>Dans l’hypothèse où le jeune devait obtenir à l’avenir une Swiss Olympic Talent Card Régionale ou Nationale, il lui serait loisible de renouveler sa requête auprès du service compétent. 6)</w:t>
      </w:r>
    </w:p>
    <w:p>
      <w:r>
        <w:t>Au vu de ce qui précède, le recours sera rejeté. 7)</w:t>
      </w:r>
    </w:p>
    <w:p>
      <w:r>
        <w:t>Vu l’issue du litige, un émolument de CHF 400.- sera mis à la charge du recourant. Celui-ci, enfant mineur, ayant agi par son père, ce dernier se verra astreint au paiement dudit émolument (art. 87 al. 1 LPA). Aucune indemnité de procédure ne lui sera allouée (art. 87 al. 2 LPA).</w:t>
      </w:r>
    </w:p>
    <w:p>
      <w:r>
        <w:t>* * * * *</w:t>
      </w:r>
    </w:p>
    <w:p>
      <w:r>
        <w:t>- 7/8 - A/1378/2020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