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ATA/596/2012 vom 4. September 2012</w:t>
      </w:r>
    </w:p>
    <w:p>
      <w:r>
        <w:t>GE Cour de justice, 2012-09-04, FR</w:t>
      </w:r>
    </w:p>
    <w:p>
      <w:r>
        <w:rPr>
          <w:b/>
        </w:rPr>
        <w:t xml:space="preserve">Quelle: </w:t>
      </w:r>
      <w:r>
        <w:t>https://mcp.opencaselaw.ch/entscheid/ge_gerichte_ATA_596_2012</w:t>
      </w:r>
    </w:p>
    <w:p>
      <w:r>
        <w:t>FR: GE_GERICHTE ATA/596/2012 du 4 septembre 2012</w:t>
      </w:r>
    </w:p>
    <w:p>
      <w:r>
        <w:t>IT: GE_GERICHTE ATA/596/2012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w:t>
      </w:r>
    </w:p>
    <w:p>
      <w:r>
        <w:rPr>
          <w:b/>
        </w:rPr>
        <w:t>E. 3</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 p. 119 ; RDAF 1991 p. 45 et les références citées ; T. GUHL, Das Schweizerische Obligationenrecht, 9ème éd., 2000, p. 229).</w:t>
      </w:r>
    </w:p>
    <w:p>
      <w:r>
        <w:rPr>
          <w:b/>
        </w:rPr>
        <w:t>E. 4</w:t>
      </w:r>
    </w:p>
    <w:p>
      <w:r>
        <w:t>a.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w:t>
      </w:r>
    </w:p>
    <w:p>
      <w:r>
        <w:t>b. Dans le cadre de l’application de la loi fédérale sur la procédure administrative du 20 décembre 1968 (PA - RS 172.021) et de la loi fédérale sur le Tribunal fédéral du 17 juin 2005 (LTF - RS 173.110), le Tribunal fédéral a relevé</w:t>
      </w:r>
    </w:p>
    <w:p>
      <w:r>
        <w:t>- 4/6 - A/199/2012 que le délai pour le versement d'avances était observé si, avant son échéance, la somme due est versée à la poste Suisse ou débitée en Suisse d'un compte postal ou bancaire en faveur de l'autorité (art. 21 al. 3 PA dans sa teneur en vigueur depuis le 1er janvier 2007 ; art. 48 al. 4 LTF).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arrêt 9C_94/2008 du 30 septembre 2008, consid. 5.2 ; ). Celui qui prend le risque de procéder par ordre bancaire au lieu d'effectuer directement le paiement au guichet postal accepte que le débit de son compte ne soit pas effectué dans le délai imparti et que le recours soit déclaré irrecevable. Il n'y a donc pas de formalisme excessif à retenir une telle conséquence (arrêt du Tribunal fédéral 2C_250/2009 du 2 juin 2009).</w:t>
      </w:r>
    </w:p>
    <w:p>
      <w:r>
        <w:t>c. Dans les procédures mises en place pour l'application de l'art. 86 LPA les principes constitutionnels de la bonne foi et de la confiance tirés des art. 9 et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(ATA/356/2009 du 28 juillet 2009 ; ATA/473/2004 du 25 mai 2004 consid. 3 ; ATA/561/2003 du 23 juillet 2003 consid. 6 ; P. MOOR, Droit administratif, vol. 2, 2e éd., Berne 2002, p. 230 ss n. 2.2.4.6 et les réf. citées).</w:t>
      </w:r>
    </w:p>
    <w:p>
      <w:r>
        <w:rPr>
          <w:b/>
        </w:rPr>
        <w:t>E. 5</w:t>
      </w:r>
    </w:p>
    <w:p>
      <w:r>
        <w:t>En l’espèce, le recourant a démontré par pièce avoir donné à sa banque, en France, l’ordre de transfert de l’avance de frais le 3 février 2012, soit largement avant le terme de délai fixé par le TAPI. L’ensemble des informations nécessaires y figuraient. Si la somme a été débitée du compte de l’intéressé avant l’échéance</w:t>
      </w:r>
    </w:p>
    <w:p>
      <w:r>
        <w:t>- 5/6 - A/199/2012 en question, elle n’a jamais été créditée sur le compte de l’autorité, et l’information en question a été inscrite sur le relevé de compte du recourant le 14 février, soit largement avant l’échéance du délai de versement de l’avance de frais.</w:t>
      </w:r>
    </w:p>
    <w:p>
      <w:r>
        <w:rPr>
          <w:b/>
        </w:rPr>
        <w:t>E. 6</w:t>
      </w:r>
    </w:p>
    <w:p>
      <w:r>
        <w:t>Au vu de ce qui précède, la chambre administrative admettra que, en déclarant irrecevable le recours, le TAPI n’a pas fait preuve de formalisme excessif.</w:t>
      </w:r>
    </w:p>
    <w:p>
      <w:r>
        <w:t>Le recours sera rejeté et le jugement litigieux confirmé.</w:t>
      </w:r>
    </w:p>
    <w:p>
      <w:r>
        <w:t>Un émolument de CHF 400.- sera mis à la charge de M. V______,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