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ATA/596/2011 vom 20. September 2011</w:t>
      </w:r>
    </w:p>
    <w:p>
      <w:r>
        <w:t>GE Cour de justice, 2011-09-20, FR</w:t>
      </w:r>
    </w:p>
    <w:p>
      <w:r>
        <w:rPr>
          <w:b/>
        </w:rPr>
        <w:t xml:space="preserve">Quelle: </w:t>
      </w:r>
      <w:r>
        <w:t>https://mcp.opencaselaw.ch/entscheid/ge_gerichte_ATA_596_2011</w:t>
      </w:r>
    </w:p>
    <w:p>
      <w:r>
        <w:t>FR: GE_GERICHTE ATA/596/2011 du 20 septembre 2011</w:t>
      </w:r>
    </w:p>
    <w:p>
      <w:r>
        <w:t>IT: GE_GERICHTE ATA/596/2011 del 20 settembre 2011</w:t>
      </w:r>
    </w:p>
    <w:p>
      <w:pPr>
        <w:pStyle w:val="Heading2"/>
      </w:pPr>
      <w:r>
        <w:t>Erwägungen</w:t>
      </w:r>
    </w:p>
    <w:p>
      <w:r>
        <w:rPr>
          <w:b/>
        </w:rPr>
        <w:t>E. 1</w:t>
      </w:r>
    </w:p>
    <w:p>
      <w:r>
        <w:t>Interjeté en temps utile devant la juridiction compétente, le recours est recevable de ce point de vue (art. 132 de la loi sur l'organisation judiciaire - LOJ - E 2 05 ; art. 62 al. 1 let. a LPA).</w:t>
      </w:r>
    </w:p>
    <w:p>
      <w:r>
        <w:rPr>
          <w:b/>
        </w:rPr>
        <w:t>E.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rPr>
          <w:b/>
        </w:rPr>
        <w:t>E. 3</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et la partie adverse puissent comprendre avec certitude les fins du recourant (ATA/681/2010 du 5 octobre 2010 consid. 2 et références citées ; ATA/670/2010 du 28 septembre 2010 consid. 2 ; ATA/391/2010 du 8 juin 2010 consid. 4). Une requête en annulation d’une décision doit par exemple être déclarée recevable dans la mesure où le recourant a de manière suffisante manifesté son désaccord avec la décision, ainsi que sa volonté qu’elle ne développe pas d’effets juridiques (ATA/670/2010 précité consid. 2). Des conclusions conditionnelles sont en revanche irrecevables (ATA/650/2009 du 8 décembre 2009 consid. 3 ; ATA/307/2000 du 16 mai 2000 consid. 4).</w:t>
      </w:r>
    </w:p>
    <w:p>
      <w:r>
        <w:rPr>
          <w:b/>
        </w:rPr>
        <w:t>E. 4</w:t>
      </w:r>
    </w:p>
    <w:p>
      <w:r>
        <w:t>L’absence de conclusions au sens de ce qui précède ne peut être réparée que dans le délai de recours (ATA/391/2010 précité consid. 4 ; ATA/153/2010 du</w:t>
      </w:r>
    </w:p>
    <w:p>
      <w:r>
        <w:rPr>
          <w:b/>
        </w:rPr>
        <w:t>E. 9</w:t>
      </w:r>
    </w:p>
    <w:p>
      <w:r>
        <w:t>mars 2010 consid. 1). 5.</w:t>
      </w:r>
    </w:p>
    <w:p>
      <w:r>
        <w:t>Quant à l’exigence de motivation de l’art. 65 al. 2 LPA, elle a pour but de permettre à la juridiction administrative de déterminer l’objet du litige qui lui est soumis et de donner l’occasion à la partie intimée de répondre aux griefs formulés à son encontre (ATA/309/2010 précité consid. 2 ; ATA/156/2010 précité consid. 1 ; ATA/32/2010 du 19 janvier 2010 consid. 2 et jurisprudence citée ; P. MOOR,</w:t>
      </w:r>
    </w:p>
    <w:p>
      <w:r>
        <w:t>- 4/5 - A/1144/2011 Droit administratif, Vol. II, Berne 2002, 2ème éd., pp. 672-674 n. 5.7.1.3). Elle signifie que le recourant doit expliquer en quoi et pourquoi il s’en prend à la décision litigieuse. Il ne suffit pas, par exemple,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doit se référer à des motifs qui entrent dans le pouvoir d’examen de l’autorité de recours (B. BOVAY, Procédure administrative, Berne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celui-ci (ATA/32/2010 précité consid. 2 ; ATA/28/2009 du 20 janvier 2009 consid. 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(ATA précités ; B. BOVAY, op. cit., p. 388). 6.</w:t>
      </w:r>
    </w:p>
    <w:p>
      <w:r>
        <w:t>En l'espèce, le recourant n'indique pas, dans son courrier du 6 août 2011, quels points de la décision il conteste, ni pour quels motifs elle lui disconvient. Il laisse entendre qu'il l'agrée pour partie, depuis qu'un accord serait intervenu entre lui et le DSPE, sans toutefois qu'il soit possible de déterminer quelles sont ses conclusions. 7.</w:t>
      </w:r>
    </w:p>
    <w:p>
      <w:r>
        <w:t>Son recours doit ainsi être déclaré manifestement irrecevable, au sens de l'art. 72 LPA, sans qu'il soit nécessaire de procéder à d'autres actes d'instruction ou à un rappel d'avance de frais, conformément à la pratique de la chambre de céans. 8.</w:t>
      </w:r>
    </w:p>
    <w:p>
      <w:r>
        <w:t>Vu l'issue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