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ATA/595/2020 vom 16. Juni 2020</w:t>
      </w:r>
    </w:p>
    <w:p>
      <w:r>
        <w:t>GE Cour de justice, 2020-06-16, FR</w:t>
      </w:r>
    </w:p>
    <w:p>
      <w:r>
        <w:rPr>
          <w:b/>
        </w:rPr>
        <w:t xml:space="preserve">Quelle: </w:t>
      </w:r>
      <w:r>
        <w:t>https://mcp.opencaselaw.ch/entscheid/ge_gerichte_ATA_595_2020</w:t>
      </w:r>
    </w:p>
    <w:p>
      <w:r>
        <w:t>FR: GE_GERICHTE ATA/595/2020 du 16 juin 2020</w:t>
      </w:r>
    </w:p>
    <w:p>
      <w:r>
        <w:t>IT: GE_GERICHTE ATA/595/2020 del 16 giugno 2020</w:t>
      </w:r>
    </w:p>
    <w:p>
      <w:pPr>
        <w:pStyle w:val="Heading2"/>
      </w:pPr>
      <w:r>
        <w:t>Regeste</w:t>
      </w:r>
    </w:p>
    <w:p>
      <w:r>
        <w:t>Résumé: Augmentation de l’indemnité pour tort moral de CHF 500.- à CHF 1'000.- allouée à chaque enfant mineur des recourants, aux motifs qu'ils ont été traumatisés par l'agression subie par leur père chez eux par un voisin, que l'agression a eu lieu dans un environnement qui se veut être protégé, qu'ils ont dû être conduits par leur mère dans une chambre pour être mis en sécurité et qu'ils sont restés dans l'incertitude quant au sort de leur père, mais aussi le leur. Recours partiellement admis.</w:t>
      </w:r>
    </w:p>
    <w:p>
      <w:pPr>
        <w:pStyle w:val="Heading2"/>
      </w:pPr>
      <w:r>
        <w:t>Erwägungen</w:t>
      </w:r>
    </w:p>
    <w:p>
      <w:r>
        <w:rPr>
          <w:b/>
        </w:rPr>
        <w:t>E. 26</w:t>
      </w:r>
    </w:p>
    <w:p>
      <w:r>
        <w:t>septembre 2010 - LOJ - E 2 05 ; art. 19 de la loi d'application de la LAVI du 11 février 2011 - LaLAVI - J 4 10 ; art. 62 al. 1 let. a de la loi sur la procédure administrative du 12 septembre 1985 - LPA - E 5 10). 2) a.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w:t>
      </w:r>
    </w:p>
    <w:p>
      <w:r>
        <w:t>- 7/15 - A/1091/2020 recours n’est pas en soi un motif d’irrecevabilité, pourvu que le tribunal et la partie adverse puissent comprendre avec certitude les fins du recourant (ATA/90/2019 du 29 janvier 2019 consid. 4b ; Stéphane GRODECKI/Romain JORDAN, Code annoté de procédure administrative genevoise, 2017, p. 215 n. 808). Une requête en annulation d’une décision doit par exemple être déclarée recevable dans la mesure où le recourant a de manière suffisante manifesté son désaccord avec la décision, ainsi que sa volonté qu’elle ne développe pas d’effets juridiques (ATA/1374/2018 du 18 décembre 2018 consid. 3a et l'arrêt cité ; Pierre MOOR/Etienne POLTIER, Droit administratif, vol. 2, 3ème éd., 2011, p. 807 n. 5.8.1.4). Des conclusions conditionnelles sont en revanche irrecevables (arrêt du Tribunal fédéral 1C_52/2010 du 21 avril 2010 consid. 2 ; ATA/1235/2018 du 20 novembre 2018 consid. 3b). Il en va de même des conclusions subsidiaires prises en dehors du délai de recours, pendant le cours de la procédure (arrêt du Tribunal fédéral 8C_799/2011 du 20 juin 2012 consid. 2 ; ATA/90/2019 précité consid. 4b et l'arrêt cité).</w:t>
      </w:r>
    </w:p>
    <w:p>
      <w:r>
        <w:t>c. La LAVI règle l’aide aux victimes d’infractions à l’intégrité physique, psychique ou sexuelle. La victime au sens précité, ainsi que son conjoint, leurs enfants, les père et mère et leurs proches sont les bénéficiaires de l’aide accordée (art. 1 al. 1 et 2 LAVI).</w:t>
      </w:r>
    </w:p>
    <w:p>
      <w:r>
        <w:t>Parmi les différents types d’aide apportée par la LAVI à la victime, figure la réparation morale (art. 22 et ss LAVI).</w:t>
      </w:r>
    </w:p>
    <w:p>
      <w:r>
        <w:t>d. En l'occurrence, les recourants, qui comparaissent en personne, demandent à ce que leur soit octroyé un montant global de CHF 18'000.- à titre de réparation morale sans que ne soient détaillés les différents montants à allouer pour chaque individu. L'on comprend toutefois de leur recours qu'ils contestent le bien-fondé des trois décisions de l'instance LAVI, laquelle a examiné les prétentions à titre de réparation morale détaillées de chaque victime formulées dans la requête du 10 octobre 2019, dont le total s'élève effectivement à CHF 18'000.- (CHF 8'000.- pour Mme A______, CHF 4'000.- pour M. A______, CHF 3'000.- pour B______ et CHF 3'000.- pour C______).</w:t>
      </w:r>
    </w:p>
    <w:p>
      <w:r>
        <w:t>Le recours est donc pleinement recevable. 3)</w:t>
      </w:r>
    </w:p>
    <w:p>
      <w:r>
        <w:t>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w:t>
      </w:r>
    </w:p>
    <w:p>
      <w:r>
        <w:t>Il n'est pas contesté que les recourants ont la qualité de victime, respectivement de proches de la victime (art. 1 al. 1 et 2 LAVI), que les délais de</w:t>
      </w:r>
    </w:p>
    <w:p>
      <w:r>
        <w:t>- 8/15 - A/1091/2020 l'art. 25 LAVI ont été respectés et que M. E______ paraît insolvable (art. 4 al. 1 LAVI). 5) a. Selon l'art. 22 al. 1 LAVI, la victime a droit à une réparation morale lorsque la gravité de l'atteinte le justifie ; les art. 47 et 49 de loi fédérale complétant le Code civil suisse du 30 mars 1911 (Livre cinquième : Droit des obligations - CO - RS 220) s'appliquent par analogie. Au terme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w:t>
      </w:r>
    </w:p>
    <w:p>
      <w:r>
        <w:t>b. Le montant de la réparation morale est fixé en fonction de la gravité de l'atteinte ; il ne peut excéder CHF 70'000.- lorsque l'ayant droit est la victime (art. 23 al. 1 et al. 2 let. a LAVI), respectivement CHF 35'000.- pour ses proches (art. 23 al. 2 let. b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6) a. La LAVI prévoit un plafonnement des indemnisations pour tort moral, laissant une large liberté d'appréciation au juge pour déterminer une somme équitable dans les limites de ce cadre (ATF 117 II 60 ; 116 II 299 consid. 5.a).</w:t>
      </w:r>
    </w:p>
    <w:p>
      <w:r>
        <w:t>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w:t>
      </w:r>
    </w:p>
    <w:p>
      <w:r>
        <w:t>- 9/15 - A/1091/2020</w:t>
      </w:r>
    </w:p>
    <w:p>
      <w:r>
        <w:t>b.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w:t>
      </w:r>
    </w:p>
    <w:p>
      <w:r>
        <w:t>c. Sa détermination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 ATA/145/2019 du 1er octobre 2019 consid. 5c). 7.</w:t>
      </w:r>
    </w:p>
    <w:p>
      <w:r>
        <w:t>En matière de réparation du tort moral, une comparaison avec d'autres causes ne doit ainsi intervenir qu'avec circonspection, puisque le tort moral ressenti dépend de l'ensemble des circonstances du cas d'espèce. Cela étant, une comparaison peut se révéler, suivant les occurrences, un élément utile d'orientation (ATF 138 III 337 consid. 6.3.3 ; 130 III 699 consid. 5.1). 8. a. La chambre de céans et d'autres juridictions cantonales ont alloué des montants de CHF 1'000.- à CHF 4'000.- à des victimes de lésions corporelles simples ou graves ayant nécessité des interventions chirurgicales, entraîné des cicatrices permanentes, des incapacités de travail de quelques jours à quelques semaines ou des difficultés d'ordre psychique (ATA/1294/2019 du 27 août 2019 consid. 5e ; Meret BAUMANN/Blanca ANABITARTE/Sandra MÜLLER GMÜNDER, La pratique en matière de réparation morale à titre d'aide aux victimes - Fixation des montants de la réparation morale selon la LAVI révisée, in Jusletter du 8 juin 2015, p. 20 s.).</w:t>
      </w:r>
    </w:p>
    <w:p>
      <w:r>
        <w:t>b. Le Guide relatif à la fixation du montant de la réparation morale à titre d'aide aux victimes d'infractions à l'intention des autorités cantonales en charge de l'octroi de la réparation morale au titre de la LAVI, rédigé en octobre 2008 par l'office fédéral de la justice, est dépourvu de force obligatoire. Dans un souci d'application uniforme et équitable de la loi, il peut toutefois être tenu compte des recommandations qui y sont mentionnées (ATA/1451/2019 précité consid. 6c).</w:t>
      </w:r>
    </w:p>
    <w:p>
      <w:r>
        <w:t>Ce guide a été entièrement remanié et s'intitule désormais « Guide relatif à la fixation du montant de la réparation morale selon la LAVI » du 3 octobre 2019 (https://www.bj.admin.ch/dam/data/bj/gesellschaft/opferhilfe/hilfsmittel/leitf-</w:t>
      </w:r>
    </w:p>
    <w:p>
      <w:r>
        <w:t>- 10/15 - A/1091/2020 genugtuung-ohg-f.pdf, ci-après : le guide). Il a pour objectif de permettre l’application uniforme de la LAVI en matière de réparation morale et complète la doctrine et la jurisprudence. Il n'est pas contraignant (p. 2).</w:t>
      </w:r>
    </w:p>
    <w:p>
      <w:r>
        <w:t>Les fourchettes du guide aménagent une marge de manœuvre suffisante pour qu'il soit tenu compte des particularités de chaque cas d'espèce. La difficulté réside surtout dans le calcul du montant approprié à l'intérieur de ces fourchettes. La prise en considération de décisions antérieures semblables est dès lors essentielle pour garantir la sécurité et l'application uniforme du droit. Aussi, malgré la grande diversité des cas, certains facteurs ci-après sont récurrents : parmi les blessures légères, on range les contusions, les plaies par déchirure, les lésions dentaires, les morsures superficielles, les petites cicatrices et les troubles psychiques causés principalement par des atteintes inattendues. La fourchette se situe ici entre CHF 0.- et CHF 1'000.- ; en cas de blessures, dont la guérison se déroule le plus souvent sans complication telles que des fractures, les montants se situent entre CHF 1'000.- et CHF 3'000.-. S'il s'agit de blessures infligées par couteau ou par balle, la réparation peut s'élever jusqu'à CHF 5'000.- ; dans la tranche allant de CHF 5'000.- à CHF 10'000.-, on trouve surtout des lésions occasionnées à des organes (rate, foie, yeux) qui nécessitent un processus de guérison plus long et plus complexe et qui peuvent laisser des séquelles, telles une diminution de l'acuité visuelle, une paralysie intestinale ou une prédisposition accrue aux infections (Meret BAUMANN/Blanca ANABITARTE/Sandra MÜLLER GMÜNDER, op. cit., p. 27 s). Par ailleurs, selon le guide,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(p. 14).</w:t>
      </w:r>
    </w:p>
    <w:p>
      <w:r>
        <w:t>Selon le guide, les atteintes à l’intégrité physique de peu de gravité ne donnent pas droit à réparation morale, sauf en présence de circonstances aggravantes. Ces dernières sont présentes lorsque les lésions corporelles ont été infligées dans des circonstances traumatiques, ou bien ont laissé des séquelles psychiques durables. On peut par exemple aussi considérer comme circonstances aggravantes la mise en danger de la vie, des répercussions dramatiques sur la vie privée et professionnelle de la victime, un séjour prolongé à l’hôpital, plusieurs séjours, ou encore des douleurs persistantes ou aiguës. Ainsi, pour des atteintes corporelles non négligeables, en voie de guérison ou des atteintes de peu de gravité avec circonstances aggravantes (par exemples des fractures ou commotions cérébrales), le guide prévoit une réparation morale allant jusqu'à un montant de CHF 5'000.-. Quant à la fourchette des montants allant de CHF 5'000.- à CHF 10'000.-, celle-ci est indiquée pour les atteintes corporelles à la guérison plus lente et plus complexe avec séquelles tardives éventuelles (par exemples</w:t>
      </w:r>
    </w:p>
    <w:p>
      <w:r>
        <w:t>- 11/15 - A/1091/2020 opérations, longues réhabilitations, dégradation de la vue, paralysie intestinale, sensibilité accrue aux infections) (p. 10).</w:t>
      </w:r>
    </w:p>
    <w:p>
      <w:r>
        <w:t>Les critères de fixation du montant sont, selon le guide, les conséquences directes de l'acte (notamment l'intensité, l'ampleur et la durée des séquelles physiques telles que les cicatrices par exemple, des séquelles psychiques, la mise en danger de la vie), le déroulement de l'actes et ses circonstances (notamment l'acte qualifié avec utilisation d'armes ou d'autres objets dangereux, l'ampleur et l'intensité de violence, la commission de l'acte dans un cadre protégé tel qu'un logement) et la situation de la victime (âge notamment) (p. 11).</w:t>
      </w:r>
    </w:p>
    <w:p>
      <w:r>
        <w:t>Pour les victimes ayant subi une atteinte grave à l'intégrité psychique, la pratique pour la détermination de la gravité de cette atteinte consiste à partir de la gravité ou des circonstances concrètes de l’infraction et à en tirer des conclusions sur les répercussions notoires. Ainsi, pour une atteinte à l’intégrité psychique non négligeable même si temporaire avec circonstances aggravantes déterminées par l’acte, par exemple utilisation d'armes ou d'autres objets dangereux, commission en groupe, acte commis dans un cadre protégé, récidive : longue période et fréquence, le guide prévoit une réparation morale allant jusqu'à un montant de CHF 5'000.- (p. 15).</w:t>
      </w:r>
    </w:p>
    <w:p>
      <w:r>
        <w:t>Les critères de fixation du montant sont, selon le guide, les conséquences directes de l'acte (notamment l'intensité, l'ampleur et la durée des séquelles psychiques, la durée de la psychothérapie, la mise en danger de la vie et la durée de persistance de ce danger, l'altération considérable du mode de vie), le déroulement de l'acte et les circonstances (notamment l'acte qualifié, l'ampleur et l'intensité de la violence, la durée et la fréquence de l'acte, l'acte commis dans un cadre protégé), ainsi que la situation de la victime (l'âge en particulier une victime mineure, la vulnérabilité particulière et la relation de confiance ou de dépendance entre la victime et l’auteur) (p. 16). 9.</w:t>
      </w:r>
    </w:p>
    <w:p>
      <w:r>
        <w:t>En l'espèce, sans minimiser le trouble causé aux recourants par le comportement de leur voisin sur les quatre années ayant précédé l'agression du 23 juillet 2017 dont M. A______ a été victime, il sied de préciser que les indemnités pour tort moral sur lesquelles il y a lieu de statuer s'attachent uniquement aux conséquences de ladite agression, qualifiée par les juges du TCO de tentative de lésions corporelles graves, de lésions corporelles simples et de tentative de violation de domicile. 10.</w:t>
      </w:r>
    </w:p>
    <w:p>
      <w:r>
        <w:t>En l'occurrence et s'agissant de M. A______, il est douteux qu'il puisse se plaindre du montant octroyé par l'instance LAVI, de CHF 5'000.-, soit davantage que les CHF 4'000.- requis devant elle.</w:t>
      </w:r>
    </w:p>
    <w:p>
      <w:r>
        <w:t>Indépendamment de cette considération, l'intéressé a certes été victime d’une agression à l’arme blanche lui ayant occasionné, selon constat médical des</w:t>
      </w:r>
    </w:p>
    <w:p>
      <w:r>
        <w:t>- 12/15 - A/1091/2020 HUG le 23 juillet 2017, trois lésions au visage, des lacérations aux poignets droit et gauche et une plaie superficielle, la seule ayant nécessité la pose de points de suture. Ces blessures ont en terme de traitement nécessité un rappel du vaccin antitétanique et une désinfection.</w:t>
      </w:r>
    </w:p>
    <w:p>
      <w:r>
        <w:t>Le tableau de ces lésions entre ainsi dans la catégorie des lésions simples pour lesquelles la chambre administrative a alloué des montants de CHF 1'000.- à CHF 4'000.-. Causées par deux couteaux, la réparation peut toutefois s'élever jusqu'aux CHF 5'000.- alloués par la LAVI conformément à la jurisprudence rappelée supra. Il s'agit également du montant maximum selon la classification du guide pour des atteintes corporelles non négligeables, en voie de guérison, ce qui est le cas des lésions subies par le recourant.</w:t>
      </w:r>
    </w:p>
    <w:p>
      <w:r>
        <w:t>Ce montant tient également correctement compte de la souffrance psychique liée aux suites de l'agression dont il a été victime.</w:t>
      </w:r>
    </w:p>
    <w:p>
      <w:r>
        <w:t>La décision du 5 mars 2020 le concernant sera ainsi confirmée.</w:t>
      </w:r>
    </w:p>
    <w:p>
      <w:r>
        <w:t>b. Concernant Mme A______, celle-ci était présente le jour de l'agression subie par son mari le 23 juillet 2017. Elle a expliqué à quel point elle avait eu peur.</w:t>
      </w:r>
    </w:p>
    <w:p>
      <w:r>
        <w:t>La chambre de céans relèvera qu'avant cette agression, elle avait déjà consulté son médecin en juin 2017 selon le certificat médical du 15 janvier 2019 à la suite de troubles anxieux liés à la problématique d'insécurité de voisinage. Elle l'a à nouveau consulté en novembre 2017 compte tenu de son état de stress lié à l'agression susmentionnée. Son médecin lui a alors prescrit un traitement à base de plantes contre l'anxiété et a relevé qu'une psychothérapie ne pouvait être mise en place en raisons des délais d'attente et pour des raisons financières.</w:t>
      </w:r>
    </w:p>
    <w:p>
      <w:r>
        <w:t>Les atteintes subies par la recourante ne sont partant pas négligeables, sans pouvoir être qualifiées d'importantes.</w:t>
      </w:r>
    </w:p>
    <w:p>
      <w:r>
        <w:t>Dans ces circonstances, le montant de CHF 2'000.- qui lui a été alloué par l'instance LAVI apparaît adéquat et sera confirmé.</w:t>
      </w:r>
    </w:p>
    <w:p>
      <w:r>
        <w:t>Il sera relevé encore qu'il est supérieur au montant de CHF 1’500.- alloué à une victime de menaces et d'injures (ATA/344/2012 du 5 juin 2012).</w:t>
      </w:r>
    </w:p>
    <w:p>
      <w:r>
        <w:t>c. Enfin et s'agissant des enfants, ceux-ci se sont vu octroyer un montant de CHF 500.- chacun à titre de réparation morale.</w:t>
      </w:r>
    </w:p>
    <w:p>
      <w:r>
        <w:t>Comme pour leur mère, les enfants étaient présents le jour de l'agression du 23 juillet 2017. Ils ont néanmoins rapidement été conduits par leur mère dans une chambre de sorte qu'ils n'ont pas vu les coups de couteau assénés à leur père. Il n'en demeure pas moins qu'ils ont entendu les cris du voisin et certainement vu</w:t>
      </w:r>
    </w:p>
    <w:p>
      <w:r>
        <w:t>- 13/15 - A/1091/2020 leur père le visage et les poignets en sang une fois l'agression terminée et avant qu'il ne se rende à l'hôpital.</w:t>
      </w:r>
    </w:p>
    <w:p>
      <w:r>
        <w:t>Selon le guide, l'âge constitue un des critères pertinents pour la fixation du montant. Âgés de respectivement de 6 et 5 ans au moment des faits, B______ et C______ ont été traumatisés par cette agression, ce qui ressort du certificat médical du 14 septembre 2017 émis par la Dresse G______, spécialiste FMH en pédiatrie. Ils ont présenté des troubles du sommeil et des crises d'angoisse selon un second certificat médical du 22 janvier 2019 émis par cette même doctoresse.</w:t>
      </w:r>
    </w:p>
    <w:p>
      <w:r>
        <w:t>En outre, l'agression qu'a subi leur père a eu lieu dans un environnement qui se veut être protégé. Lorsqu'ils ont été conduits par leur mère dans une chambre pour être mis en sécurité, ils sont restés dans l'incertitude quant au sort de leur père, mais aussi le leur.</w:t>
      </w:r>
    </w:p>
    <w:p>
      <w:r>
        <w:t>Ces éléments, pris dans un contexte global, justifient une allocation d'une indemnité pour tort moral allant au-delà du minimum fixé par l'art. 20 al. 3 LAVI (CHF 500.-). Il convient dès lors d'arrêter ce montant à CHF 1'000.- pour chaque enfant, sans intérêts conformément à l'art. 28 LAVI.</w:t>
      </w:r>
    </w:p>
    <w:p>
      <w:r>
        <w:t>Ce montant apparaît adéquat au vu de l'ATA/344/2012 dont il est fait état plus haut lequel concernait une victime adolescente qui avait subi elle-même des voies de fait en plus des menaces et injures.</w:t>
      </w:r>
    </w:p>
    <w:p>
      <w:r>
        <w:t>La décision du 5 mars 2020 concernant B______ et C______ sera réformée dans cette mesure. 11.</w:t>
      </w:r>
    </w:p>
    <w:p>
      <w:r>
        <w:t>Au vu de ce qui précède, le recours sera partiellement admis. 12.</w:t>
      </w:r>
    </w:p>
    <w:p>
      <w:r>
        <w:t>La procédure étant gratuite, aucun émolument ne sera prélevé (art. 30 al. 1 LAVI et 87 al. 1 LPA). Aucune indemnité de procédure ne sera allouée aux recourants qui comparaissent en personne et n'ont pas exposé avoir engagé de frais pour leur défense (art. 87 al. 2 LPA).</w:t>
      </w:r>
    </w:p>
    <w:p>
      <w:r>
        <w:t>* * * * *</w:t>
      </w:r>
    </w:p>
    <w:p>
      <w:r>
        <w:t>- 14/15 - A/1091/2020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