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ATA/595/2009 vom 1. Juli 2009</w:t>
      </w:r>
    </w:p>
    <w:p>
      <w:r>
        <w:t>GE Cour de justice, 2009-07-01, FR</w:t>
      </w:r>
    </w:p>
    <w:p>
      <w:r>
        <w:rPr>
          <w:b/>
        </w:rPr>
        <w:t xml:space="preserve">Quelle: </w:t>
      </w:r>
      <w:r>
        <w:t>https://mcp.opencaselaw.ch/entscheid/ge_gerichte_ATA_595_2009</w:t>
      </w:r>
    </w:p>
    <w:p>
      <w:r>
        <w:t>FR: GE_GERICHTE ATA/595/2009 du 1 juillet 2009</w:t>
      </w:r>
    </w:p>
    <w:p>
      <w:r>
        <w:t>IT: GE_GERICHTE ATA/595/2009 del 1 luglio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18 septembre 2008, le Grand Conseil a modifié la LOJ d’une part ainsi que plusieurs dispositions de la LPA, notamment l’art. 86 LPA. Aux termes de cette disposition légale, la juridiction invite le recourant à faire une avance ou à</w:t>
      </w:r>
    </w:p>
    <w:p>
      <w:r>
        <w:t>- 3/5 - A/1342/2009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t>Ainsi, la novelle du 18 septembre 2008 fait désormais du paiement de l’avance de frais une condition de recevabilité du recours.</w:t>
      </w:r>
    </w:p>
    <w:p>
      <w:r>
        <w:t>Ce souci d'harmoniser le mode de procéder des différentes juridictions administratives ressort notamment du rapport du 18 septembre 2008 de la commission ad hoc Justice 2010 chargée d'étudier le projet de loi du Conseil d'Etat modifiant la loi sur l'organisation judiciaire du 1er septembre 2008, PL 10 253-A p. 53, dans lequel, l'auteur de l'amendement de la disposition précitée a souligné que « certaines juridictions (exigeaient) des avances de frais en laissant entendre aux recourants que leur versement (était) impératif, alors que dans la pratique, elles n'(avaient) pas la compétence de déclarer un recours irrecevable lorsque l'avance de frais n'(était) pas payée ». Il était dès lors nécessaire « d'introduire une disposition donnant clairement la compétence aux juridictions administratives de déclarer un recours irrecevable lorsque le recourant n'(avait) pas procédé dans le délai imparti à l'avance de frais qui lui (avait) été demandée ». Entendu à ce sujet, le président du Tribunal administratif a indiqué être « favorable à un système qui fasse dépendre l'examen du versement de l'avance de frais ».</w:t>
      </w:r>
    </w:p>
    <w:p>
      <w:r>
        <w:rPr>
          <w:b/>
        </w:rPr>
        <w:t>E. 3</w:t>
      </w:r>
    </w:p>
    <w:p>
      <w:r>
        <w:t>a. A rigueur de texte, la disposition légale précitée ne laisse aucune place à des circonstances extraordinaires qui justifieraient que l’avance de frais n’intervienne pas dans le délai imparti. Cela étant, la référence au « délai suffisant » de l’al. 1 ouvre la porte à une certaine marge d’appréciation de la part de l’autorité judiciaire. L’on pourrait en effet admettre, sur cette base, qu’un recourant sollicite la prolongation du délai en argumentant que celui-ci n’est précisément pas suffisant pour lui permettre de réunir les fonds demandés.</w:t>
      </w:r>
    </w:p>
    <w:p>
      <w:r>
        <w:t>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 de conséquence pour le justiciable puisqu'il peut conduire à l'irrecevabilité de son recours. Les juridictions administratives doivent donc communiquer d'une manière claire quel est le</w:t>
      </w:r>
    </w:p>
    <w:p>
      <w:r>
        <w:t>- 4/5 - A/1342/2009 montant de l'avance à payer, le délai dans lequel cela doit être fait et les conséquences d'un défaut de paiement ou d'un paiement hors délai. De même, la possibilité de requérir l'assistance juridique en cas d'impossibilité de payer le montant réclamé doit être rappelée.</w:t>
      </w:r>
    </w:p>
    <w:p>
      <w:r>
        <w:t>En l’espèce, le recourant n’a pas effectué l’avance de frais dans le délai d’un mois imparti par la commission. Il allègue n’avoir pas pu le faire car, étant à l’étranger au moment de la notification du courrier recommandé la lui réclamant. Il ne soutient pas n’avoir pas reçu d’avis de retrait du pli en question et n’indique pas avoir pris de dispositions particulières pour que les envois postaux lui soient transmis durant son absence, alors même qu’ayant intenté une procédure de recours, il devait s’attendre à recevoir des communications de l’autorité judiciaire saisie. De retour à Genève le 26 avril 2009, soit deux semaines avant l’échéance du délai de paiement, il ne prétend pas avoir entrepris des démarches pour savoir qui était l’expéditeur de ce courrier recommandé, et être ainsi en mesure de le contacter pour connaître la teneur de la communication et prendre les mesures utiles. Il n’y a ainsi aucun motif de remettre en cause la décision de la commission.</w:t>
      </w:r>
    </w:p>
    <w:p>
      <w:r>
        <w:rPr>
          <w:b/>
        </w:rPr>
        <w:t>E. 4</w:t>
      </w:r>
    </w:p>
    <w:p>
      <w:r>
        <w:t>Au vu de ce qui précède, le recours sera rejeté.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