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ATA/593/2016 vom 12. Juli 2016</w:t>
      </w:r>
    </w:p>
    <w:p>
      <w:r>
        <w:t>GE Cour de justice, 2016-07-12, FR</w:t>
      </w:r>
    </w:p>
    <w:p>
      <w:r>
        <w:rPr>
          <w:b/>
        </w:rPr>
        <w:t xml:space="preserve">Quelle: </w:t>
      </w:r>
      <w:r>
        <w:t>https://mcp.opencaselaw.ch/entscheid/ge_gerichte_ATA_593_2016</w:t>
      </w:r>
    </w:p>
    <w:p>
      <w:r>
        <w:t>FR: GE_GERICHTE ATA/593/2016 du 12 juillet 2016</w:t>
      </w:r>
    </w:p>
    <w:p>
      <w:r>
        <w:t>IT: GE_GERICHTE ATA/593/2016 del 12 luglio 2016</w:t>
      </w:r>
    </w:p>
    <w:p>
      <w:pPr>
        <w:pStyle w:val="Heading2"/>
      </w:pPr>
      <w:r>
        <w:t>Regeste</w:t>
      </w:r>
    </w:p>
    <w:p>
      <w:r>
        <w:t>Résumé: Rejet du recours du locataire et de l'aliénateur contre le jugement du TAPI annulant l'autorisation de vente de l'appartement délivré par le département. Les motifs invoqués par les recourants, soit le désir pour le locataire d'acheter le bien loué sans but spéculatif ou de profit, et pour le vendeur le besoin de vendre son appartement pour assurer sa retraite et amortir des dettes ne suffisent pas à permettre de faire primer leur intérêt personnel sur l'intérêt public au maintien d'un parc locatif dans le canton de Genève.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L'intimée a demandé la jonction de la présente procédure à la procédure A/1471/2015, pendante devant la chambre de céans, dans laquelle M. Laurent</w:t>
      </w:r>
    </w:p>
    <w:p>
      <w:r>
        <w:t>- 7/14 - A/1471/2015 HEMSI, frère de Mme HEMSI, souhaite également acquérir un appartement de M. COHEN.</w:t>
      </w:r>
    </w:p>
    <w:p>
      <w:r>
        <w:t>Étant donné que les deux procédures portent sur un appartement différent, et dans lesquelles les protagonistes sont en partie différents, la demande de jonction sera écartée.</w:t>
      </w:r>
    </w:p>
    <w:p>
      <w:r>
        <w:rPr>
          <w:b/>
        </w:rPr>
        <w:t>E. 3</w:t>
      </w:r>
    </w:p>
    <w:p>
      <w:r>
        <w:t>a. Selon l’art. 65 al. 1 LPA, l’acte de recours contient, sous peine d’irrecevabilité, la désignation de la décision attaquée et les conclusions du recourant. Il doit contenir également l’exposé des motifs ainsi que l’indication des moyens de preuve. Les pièces dont dispose le recourant doivent être jointes. À défaut, un bref délai pour satisfaire à ces exigences est fixé au recourant, sous peine d’irrecevabilité (art. 65 al. 2 LPA).</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(ATA/397/2011 du 21 juin 2011). Une requête en annulation d’une décision doit, par exemple, être déclarée recevable dans le mesure où le recourant a, de manière suffisante, manifesté son désaccord avec la décision, ainsi que sa volonté qu’elle ne développe pas d’effets juridiques. (P. MOOR, Droit administratif, Vol. II, 2002, 2ème éd., p. 674 n. 5.7.1.4).</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(ATA/1/2007 du 9 janvier 2007).</w:t>
      </w:r>
    </w:p>
    <w:p>
      <w:r>
        <w:rPr>
          <w:b/>
        </w:rPr>
        <w:t>E. 4</w:t>
      </w:r>
    </w:p>
    <w:p>
      <w:r>
        <w:t>En l'espèce, la recourante, en la personne de Mme HEMSI, a déposé un recours comportant une motivation et des conclusions. Dans ces dernières, elle a conclu à l'annulation du jugement du TAPI du 27 octobre 2015 et à la confirmation de l'arrêté du 17 mars 2015, autorisant l'aliénation. Il est rappelé que Mme HEMSI n'est pas représentée par un mandataire professionnel, et que même si les griefs ne sont pas formellement formulés, la chambre administrative et l'intimée ont pu comprendre que la recourante remettait en question ledit jugement au regard notamment d'une mauvaise application de l'art. 39 LDTR. Le recours est donc recevable sous l'angle de l'art. 65 LPA.</w:t>
      </w:r>
    </w:p>
    <w:p>
      <w:r>
        <w:t>- 8/14 - A/1471/2015</w:t>
      </w:r>
    </w:p>
    <w:p>
      <w:r>
        <w:rPr>
          <w:b/>
        </w:rPr>
        <w:t>E. 5</w:t>
      </w:r>
    </w:p>
    <w:p>
      <w:r>
        <w:t>Le litige porte sur la conformité au droit de l'arrêté rendu par le département le 17 mars 2015 (VA 12385) autorisant l'aliénation d'un appartement de quatre pièces au quatrième étage de l'immeuble sis 28, avenue Eugène-Pittard.</w:t>
      </w:r>
    </w:p>
    <w:p>
      <w:r>
        <w:rPr>
          <w:b/>
        </w:rPr>
        <w:t>E. 6</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 où sévit la pénurie (art. 39 al. 1 LDTR). Pour remédier à la pénurie d’appartements locatifs dont la population a besoin, tout appartement jusqu’alors destiné à la location doit conserver son affectation locative, dans les limites du présent chapitre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Le Conseil d'État a constaté qu'il y a pénurie, au sens de l'art. 25 et 39 LDTR, dans toutes les catégories des appartements d'une à sept pièces inclusivement (arrêté du Conseil d'État déterminant les catégories de logement où sévit la pénurie en vue de l'application des articles 25 à 39 LDTR, du 15 janvier 2015 (ArAppart)).</w:t>
      </w:r>
    </w:p>
    <w:p>
      <w:r>
        <w:t>L'appartement de quatre pièces concerné par la présente procédure entre dans ces catégories et sa vente est donc soumise à autorisation.</w:t>
      </w:r>
    </w:p>
    <w:p>
      <w:r>
        <w:rPr>
          <w:b/>
        </w:rPr>
        <w:t>E. 7</w:t>
      </w:r>
    </w:p>
    <w:p>
      <w:r>
        <w:t>Le département autorise l’aliénation d’un appartement si celui-ci a été dès sa construction soumis au régime de la propriété par étages ou à une forme de propriété analogue, était, le 30 mars 1985, soumis au régime de la propriété par étages ou à une forme de propriété analogue et qu’il avait déjà été cédé de manière individualisée, n’a jamais été loué ou a fait une fois au moins l’objet d’une autorisation d’aliéner en vertu de la présente loi (art. 39 al. 4 LDTR).</w:t>
      </w:r>
    </w:p>
    <w:p>
      <w:r>
        <w:t>En l'espèce, l'appartement loué en question est soumis au régime de la PPE uniquement depuis décembre 2009, soit bien après sa construction et n'a jamais fait l'objet d'une autorisation d'aliéner, si bien qu'il n'existe aucun motif d'autorisation au sens de la disposition précitée.</w:t>
      </w:r>
    </w:p>
    <w:p>
      <w:r>
        <w:rPr>
          <w:b/>
        </w:rPr>
        <w:t>E. 8</w:t>
      </w:r>
    </w:p>
    <w:p>
      <w:r>
        <w:t>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1C_139/2011, 1C_141/2011 et 1C_143/2011 du 14 juillet 2011).</w:t>
      </w:r>
    </w:p>
    <w:p>
      <w:r>
        <w:t>- 9/14 - A/1471/2015</w:t>
      </w:r>
    </w:p>
    <w:p>
      <w:r>
        <w:rPr>
          <w:b/>
        </w:rPr>
        <w:t>E. 9</w:t>
      </w:r>
    </w:p>
    <w:p>
      <w:r>
        <w:t>Afin de prévenir le changement d’affectation progressif d’un immeuble locatif, le désir d’un locataire, occupant effectivement son logement depuis trois ans au moins, d’acquérir ledit logement n’est présumé l’emporter sur l’intérêt public que si 60 % des locataires en place acceptent formellement cette acquisition ; dans ce cas cependant, les locataires restants devront obtenir la garantie de ne pas être contraints d’acheter leur appartement ou de partir (art. 39 al. 3 LDTR). Les locataires souhaitant acquérir leurs logements doivent être considérés comme des locataires en place et leur avis retenu dans les termes de la comparaison (ATA/571/2006 du 31 octobre 2006). En cas de projet d’acquisition au sens de l’art. 39 al. 3 de la loi, le vendeur et le locataire en place désireux de se porter acquéreur de son logement informent par écrit les autres locataires de l’immeuble de la transaction envisagée. Les locataires qui acceptent l’acquisition doivent le faire par écrit (art. 13 al. 2 RDTR).</w:t>
      </w:r>
    </w:p>
    <w:p>
      <w:r>
        <w:rPr>
          <w:b/>
        </w:rPr>
        <w:t>E. 10</w:t>
      </w:r>
    </w:p>
    <w:p>
      <w:r>
        <w:t>L’art. 39 al. 3 LDTR ne fait qu’instaurer une présomption. L’autorité n’est pas dispensée de procéder librement à une pesée complète des intérêts en présence car il n’est pas exclu que la présomption puisse être renversée (arrêts du Tribunal fédéral 1C_497/2012 du 9 janvier 2013 et 1C_357/2012 du 8 janvier 2013). Toutefois, dans la pesée complète des intérêts en présence à laquelle doit se livrer l'autorité (art. 13 RDTR), celle-ci ne peut se contenter d'évoquer de manière générale la nécessité de maintenir le logement dans le régime locatif (motif de refus d'ordre général déjà mentionné à l'art. 39 al. 2 LDTR), sans quoi une autorisation de vente ne serait pratiquement jamais possible ; elle doit faire état de circonstances concrètes faisant apparaître que la vente ne répond pas à un réel besoin de l'acquéreur ou du vendeur, par exemple en cas d'opération spéculative ou purement commerciale (arrêts du Tribunal fédéral 1C_357/2012 et 1C_497/2012 précités).</w:t>
      </w:r>
    </w:p>
    <w:p>
      <w:r>
        <w:rPr>
          <w:b/>
        </w:rPr>
        <w:t>E. 11</w:t>
      </w:r>
    </w:p>
    <w:p>
      <w:r>
        <w:t>Selon l'art. 13 du règlement d’application de la loi sur les démolitions, transformations et rénovations de maisons d’habitation du 29 avril 1996 (RDTR - L 5 20.01),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(al. 3) : nécessité de liquider un régime matrimonial ou une succession (let. a), nécessité de satisfaire aux exigences d'un plan de désendettement (let. b), prise d'un nouveau domicile en dehors du canton (let. c).</w:t>
      </w:r>
    </w:p>
    <w:p>
      <w:r>
        <w:rPr>
          <w:b/>
        </w:rPr>
        <w:t>E. 12</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rPr>
          <w:b/>
        </w:rPr>
        <w:t>E. 13</w:t>
      </w:r>
    </w:p>
    <w:p>
      <w:r>
        <w:t>La politique prévue par la LDTR procède d’un intérêt public important (arrêt du Tribunal fédéral 1C_143/2011 du 14 juillet 2011). Le refus de</w:t>
      </w:r>
    </w:p>
    <w:p>
      <w:r>
        <w:t>- 10/14 - A/1471/2015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w:t>
      </w:r>
    </w:p>
    <w:p>
      <w:r>
        <w:rPr>
          <w:b/>
        </w:rPr>
        <w:t>E. 14</w:t>
      </w:r>
    </w:p>
    <w:p>
      <w:r>
        <w:t>Les intérêts qui s'opposent en l'espèce sont, d'une part, les intérêts privés de la locataire à l'acquisition de l'appartement qu'elle occupe et du vendeur à la vente de celui-ci et, d'autre part, l'intérêt public à la protection du parc locatif genevois.</w:t>
      </w:r>
    </w:p>
    <w:p>
      <w:r>
        <w:rPr>
          <w:b/>
        </w:rPr>
        <w:t>E. 15</w:t>
      </w:r>
    </w:p>
    <w:p>
      <w:r>
        <w:t>Lorsque l’intérêt de l'acquéreur à acheter son logement est de pure convenance, il ne s'agit de toute évidence pas d'un intérêt particulier qui serait prépondérant face à l'intérêt public poursuivi par la LDTR (arrêt du Tribunal fédéral 1C_49/2013 du 14 août 2013).</w:t>
      </w:r>
    </w:p>
    <w:p>
      <w:r>
        <w:rPr>
          <w:b/>
        </w:rPr>
        <w:t>E. 16</w:t>
      </w:r>
    </w:p>
    <w:p>
      <w:r>
        <w:t>En l'espèce, Mme HEMSI souhaite acquérir l'appartement qu'elle loue dans le but d'y habiter au moins jusqu'à l'âge de la retraite, soit d'en faire sa résidence principale et ainsi ne pas craindre de perdre son logement. Il n'est pas contesté que la vente ne se fait pas dans un contexte spéculatif. Le TAPI a également admis qu'en cas de vente, l'acquéreuse sera logée à des conditions plus favorables que ses conditions actuelles, ce qui n'est pas contraire à l'esprit de la LDTR. Si l'on peut comprendre le souhait de la locataire d'acquérir ledit logement, son intérêt n'en relève pas moins de la seule convenance personnelle. Il sera également rappelé que la promesse de vente, signée l'année suivant la conclusion du contrat de bail, prévoit qu'une partie du loyer versé sera déduit du prix de vente de l'appartement, ce qui indique que l'intérêt initial de la locataire était d'acheter le bien en question. Dès lors, il est normal que le coût global de son logement soit inférieur au loyer dont elle s'acquitte actuellement. Le seul aspect financier d'un locataire qui serait économiquement avantagé s'il achetait le bien qu'il loue ne permet pas de donner un poids prépondérant à son intérêt privé, l'emportant sur l'intérêt public à garder l'appartement dans le parc locatif, au vu de la pénurie sévissant dans le canton de Genève. Par ailleurs, la pratique est telle que la chambre de céans, en particulier pour des motifs d'assainissement financier, tend à ne pas reconnaître la prépondérance de l'intérêt privé du vendeur.</w:t>
      </w:r>
    </w:p>
    <w:p>
      <w:r>
        <w:rPr>
          <w:b/>
        </w:rPr>
        <w:t>E. 17</w:t>
      </w:r>
    </w:p>
    <w:p>
      <w:r>
        <w:t>Quant à M. COHEN, il prétend vouloir vendre l'appartement pour des raisons de désintéressement, de désendettement et de disposer de liquidités pour sa retraite. Il estime également qu'il n'a pas d'autre choix que de vendre ses appartements individuellement dans l'immeuble en question, en raison du fait qu'il n'est propriétaire que de dix appartements sur les onze.</w:t>
      </w:r>
    </w:p>
    <w:p>
      <w:r>
        <w:t>- 11/14 - A/1471/2015</w:t>
      </w:r>
    </w:p>
    <w:p>
      <w:r>
        <w:t>Ce raisonnement ne saurait être suivi. En effet, M. COHEN a fait don de plusieurs appartements à des membres de sa famille, ceci venant appuyer le fait qu'il n'est pas dans une situation financière lui imposant la vente d'un bien immobilier, ce qu'il n'a en tout cas pas démontré. La justification de la vente individualisée de ce bien est purement économique. Par ailleurs, il n'est nullement démontré par le recourant que la vente en bloc d’un lot de dix appartements sur onze est impossible.</w:t>
      </w:r>
    </w:p>
    <w:p>
      <w:r>
        <w:t>Par conséquent, le TAPI n'a pas violé l'art. 39 LDTR, ni n'a fait preuve d'arbitraire dans le rendu de son jugement.</w:t>
      </w:r>
    </w:p>
    <w:p>
      <w:r>
        <w:rPr>
          <w:b/>
        </w:rPr>
        <w:t>E. 18</w:t>
      </w:r>
    </w:p>
    <w:p>
      <w:r>
        <w:t>Le recourant se réfère à un arrêt du Tribunal fédéral du 2 août 2015 (1C_68/2015) dans lequel il est rappelé que la pesée des intérêts et l'évaluation du motif de refus devaient se faire au regard des intérêts privés en jeu de sorte qu'il ne suffisait pas d'évoquer de manière générale la nécessité de maintenir le logement dans le régime locatif, sans quoi une autorisation de vendre ne serait pratiquement jamais possible. La situation de fait n'était pas comparable avec la présente affaire. Les locataires habitaient l'appartement en question depuis six ans avec leur fille et le souhait de continuer à vivre dans ledit logement était indubitable. La volonté du propriétaire, avant de décéder, était de vendre le bien à ces locataires à un prix nettement inférieur au prix du marché de sorte qu'ils trouveraient à se loger à des conditions plus favorables, ce qui n'allait pas à l'encontre du but poursuivi par la LDTR. Le cas était tellement spécifique qu'il n'y avait pas de raison de craindre de nouvelles demandes d'autorisation de vente du même genre. Il s'agissait d'une vente unique dans ces circonstances particulières. Il n'en va pas de même dans la présente procédure. En effet, et même si la vente n'a pas un but spéculatif, la locataire vit seule et il n'est pas contesté que le vendeur souhaite, à l'image de la vente litigieuse, aliéner l'ensemble de ses appartements de manière individualisée. Les circonstances du cas d'espèce ne sont en rien semblables à celles de l'arrêt du Tribunal fédéral précité.</w:t>
      </w:r>
    </w:p>
    <w:p>
      <w:r>
        <w:rPr>
          <w:b/>
        </w:rPr>
        <w:t>E. 19</w:t>
      </w:r>
    </w:p>
    <w:p>
      <w:r>
        <w:t>M. COHEN invoque également la protection de sa bonne foi d'administré dès lors qu'il s'est fondé sur un courrier du département daté d'avril 2005, à l'attention de son notaire lui assurant que si les conditions de l'art. 39 al. 3 LDTR étaient remplies, le département octroierait automatiquement une autorisation d'aliéner.</w:t>
      </w:r>
    </w:p>
    <w:p>
      <w:r>
        <w:rPr>
          <w:b/>
        </w:rPr>
        <w:t>E. 20</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w:t>
      </w:r>
    </w:p>
    <w:p>
      <w:r>
        <w:t>- 12/14 - A/1471/2015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3ème éd., 2012, p. 922 ss n. 6.4.1.2 et 6.4.2.1 ; Thierry TANQUEREL, Manuel de droit administratif, 2011, p. 196 s n. 578 s ; Ulrich HÄFELIN/Georg MÜLLER/Felix UHLMANN, Allgemeines Verwaltungsrecht, 7ème éd., 2016, p. 141 ss et p. 158 n. 699 ; Andreas AUER/Giorgio MALINVERNI/Michel HOTTELIER, Droit constitutionnel suisse, Vol. 2, 3ème éd., 2013, p. 548 n. 1173 ss).</w:t>
      </w:r>
    </w:p>
    <w:p>
      <w:r>
        <w:rPr>
          <w:b/>
        </w:rPr>
        <w:t>E. 21</w:t>
      </w:r>
    </w:p>
    <w:p>
      <w:r>
        <w:t>En l'espèce, le courrier mentionné n'est pas adressé directement à M. COHEN, mais à son notaire. Au vu du seul courrier produit, il est impossible de savoir à quelle procédure se réfère ledit courrier. Il est cependant incontestable que l'affaire visée par la missive de 2005 ne concernait pas la présente procédure. En effet, la lettre a été envoyée cinq ans avant la signature du bail et de la promesse de vente. Dès lors, le département ne se référait pas à l'appartement visé par l'autorisation litigieuse de sorte que le recourant ne pouvait pas se fier à ladite lettre pour espérer pouvoir vendre tous ses biens, dont celui qui fait l'objet de la présente affaire.</w:t>
      </w:r>
    </w:p>
    <w:p>
      <w:r>
        <w:t>En rejetant ce grief, le TAPI n'a pas méconnu le principe de la bonne foi de l'administré.</w:t>
      </w:r>
    </w:p>
    <w:p>
      <w:r>
        <w:rPr>
          <w:b/>
        </w:rPr>
        <w:t>E. 22</w:t>
      </w:r>
    </w:p>
    <w:p>
      <w:r>
        <w:t>En conséquence, le recours sera rejeté.</w:t>
      </w:r>
    </w:p>
    <w:p>
      <w:r>
        <w:rPr>
          <w:b/>
        </w:rPr>
        <w:t>E. 23</w:t>
      </w:r>
    </w:p>
    <w:p>
      <w:r>
        <w:t>Un émolument de CHF 500.- chacun sera mis à la charge de Mme HEMSI et M. COHEN, le département devant en être dispensé en application de l'art. 87 al. 1 LPA. En revanche, tous les recourants ainsi que le département devront verser une indemnité de procédure à l'ASLOCA, d'un montant de CHF 1’200.-, à savoir CHF 400.- pour l'État de Genève, et CHF 400.- pour Mme HEMSI et M. COHEN chacun (art. 87 al. 2 LPA).</w:t>
      </w:r>
    </w:p>
    <w:p>
      <w:r>
        <w:t>- 13/14 - A/1471/2015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