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ATA/593/2013 vom 9. September 2013</w:t>
      </w:r>
    </w:p>
    <w:p>
      <w:r>
        <w:t>GE Cour de justice, 2013-09-09, FR</w:t>
      </w:r>
    </w:p>
    <w:p>
      <w:r>
        <w:rPr>
          <w:b/>
        </w:rPr>
        <w:t xml:space="preserve">Quelle: </w:t>
      </w:r>
      <w:r>
        <w:t>https://mcp.opencaselaw.ch/entscheid/ge_gerichte_ATA_593_2013</w:t>
      </w:r>
    </w:p>
    <w:p>
      <w:r>
        <w:t>FR: GE_GERICHTE ATA/593/2013 du 9 septembre 2013</w:t>
      </w:r>
    </w:p>
    <w:p>
      <w:r>
        <w:t>IT: GE_GERICHTE ATA/593/2013 del 9 settembre 2013</w:t>
      </w:r>
    </w:p>
    <w:p>
      <w:pPr>
        <w:pStyle w:val="Heading2"/>
      </w:pPr>
      <w:r>
        <w:t>Erwägungen</w:t>
      </w:r>
    </w:p>
    <w:p>
      <w:r>
        <w:rPr>
          <w:b/>
        </w:rPr>
        <w:t>E. 1</w:t>
      </w:r>
    </w:p>
    <w:p>
      <w:r>
        <w:t>La compétence pour ordonner, d'office ou sur requête, des mesures provisionnelles en lien avec un recours appartient au président de la chambre administrative (art. 21 al. 1 et 1l. 2 de la loi sur la procédure administrative du 12 septembre 1985 - LPA - E 5 10 ; art. 7 ch. 1 du règlement interne de la chambre administrative du 21 décembre 2010).</w:t>
      </w:r>
    </w:p>
    <w:p>
      <w:r>
        <w:t>- 6/8 - A/1269/2013</w:t>
      </w:r>
    </w:p>
    <w:p>
      <w:r>
        <w:rPr>
          <w:b/>
        </w:rPr>
        <w:t>E. 2</w:t>
      </w:r>
    </w:p>
    <w:p>
      <w:r>
        <w:t>Les mesures provisionnelles ont pour objet de régler transitoirement la situation jusqu’à ce que soit prise la décision finale avec pour objectif que le régime qui sera définitivement établi par la décision finale ne soit pas par avance privé d’effet (P. MOOR/E. POLTIER, op. cit., n. 2.2.6.8 p. 305-306 ; T. TANQUEREL, Manuel de droit administratif, 2011, n. 842 p. 289).</w:t>
      </w:r>
    </w:p>
    <w:p>
      <w:r>
        <w:t>Au-delà du respect du principe de proportionnalité, plusieurs conditions doivent être réunies pour le prononcé de mesures provisionnelles. Il doit y avoir des motifs objectivement fondés qui les justifient, soit un intérêt important gravement compromis par le maintien de la situation existante ou la gravité possible des effets d’une non-intervention ou l’urgence à agir (ATF/125 II 613 ; P. MOOR/ E. POLTIER, op. cit., n. 2.2.6.8 p. 308). Un pronostic sur les chances de succès du recours doit être formulé. Plus la décision finale sera complexe à prendre, plus l’autorité devra faire preuve de retenue si la décision provisionnelle déploie des effets formateurs (ATF 127 II 132, RDAF 2002 I 405 ; P. MOOR/ E.POLTIER, op. cit., n° 2.2.6.8 p. 308). L’autorité doit éviter que la mesure provisionnelle ne préjuge de la décision finale en créant par son propre effet une situation irréversible qui rende vaine l’issue du recours, ou porte une atteinte excessive à des intérêts opposés (P. MOOR/E. POLTIER, op. cit., n. 2.2.6.8 p. 308 ; I. HÄNER, Vorsorgliche Massnahmen im Verwaltungsverfahren und Verwaltungsprozess in RDS 1997 II p. 322). Enfin, l’autorité qui prend la décision doit rester dans le cadre de ses attributions, c’est-à-dire ne pas outrepasser sa compétence ou les autres limites mises à son pouvoir de décision (RDAF 1995 451 ; RDAF 1999 I 100 ; P. MOOR/E. POLTIER, op. cit., n. 2.2.6.8 p. 308).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265).</w:t>
      </w:r>
    </w:p>
    <w:p>
      <w:r>
        <w:rPr>
          <w:b/>
        </w:rPr>
        <w:t>E. 3</w:t>
      </w:r>
    </w:p>
    <w:p>
      <w:r>
        <w:t>Procédant à une pesée entre les éléments qui précède, la chambre administrative refusera d'ordonner les mesures provisionnelles sollicitées par M. X______.</w:t>
      </w:r>
    </w:p>
    <w:p>
      <w:r>
        <w:t>Le sort des frais de la présente décision, rendue en application de 1'art. 7 al. 1 du règlement de la chambre administrative du 21 décembre 2010, sera tranché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