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ATA/592/2020 vom 16. Juni 2020</w:t>
      </w:r>
    </w:p>
    <w:p>
      <w:r>
        <w:t>GE Cour de justice, 2020-06-16, FR</w:t>
      </w:r>
    </w:p>
    <w:p>
      <w:r>
        <w:rPr>
          <w:b/>
        </w:rPr>
        <w:t xml:space="preserve">Quelle: </w:t>
      </w:r>
      <w:r>
        <w:t>https://mcp.opencaselaw.ch/entscheid/ge_gerichte_ATA_592_2020</w:t>
      </w:r>
    </w:p>
    <w:p>
      <w:r>
        <w:t>FR: GE_GERICHTE ATA/592/2020 du 16 juin 2020</w:t>
      </w:r>
    </w:p>
    <w:p>
      <w:r>
        <w:t>IT: GE_GERICHTE ATA/592/2020 del 16 giugno 2020</w:t>
      </w:r>
    </w:p>
    <w:p>
      <w:pPr>
        <w:pStyle w:val="Heading2"/>
      </w:pPr>
      <w:r>
        <w:t>Regeste</w:t>
      </w:r>
    </w:p>
    <w:p>
      <w:r>
        <w:t>Résumé: Confirmation de la révocation de l’autorisation de séjour d’un ressortissant étranger détenu en prison, père d’un enfant mineur de nationalité suisse, en raison de son comportement ayant conduit à une lourde peine privative de liberté et de l’absence de liens avec son enfant. Renvoi confirmé. Recours rejeté.</w:t>
      </w:r>
    </w:p>
    <w:p>
      <w:pPr>
        <w:pStyle w:val="Heading2"/>
      </w:pPr>
      <w:r>
        <w:t>Erwägungen</w:t>
      </w:r>
    </w:p>
    <w:p>
      <w:r>
        <w:rPr>
          <w:b/>
        </w:rPr>
        <w:t>E. 12</w:t>
      </w:r>
    </w:p>
    <w:p>
      <w:r>
        <w:t>septembre 1985 - LPA - E 5 10). 2)</w:t>
      </w:r>
    </w:p>
    <w:p>
      <w:r>
        <w:t>Le 1er janvier 2019 est entrée en vigueur une modification de la loi sur les étrangers du 16 décembre 2005 (LEtr), devenue la loi fédérale sur les étrangers et l’intégration du 16 décembre 2005 (LEI - RS 142.20). Dans la mesure où la décision de l’OCPM, à l’origine du présent litige, a été prononcée avant le</w:t>
      </w:r>
    </w:p>
    <w:p>
      <w:r>
        <w:t>- 9/18 - A/4209/2018 1er janvier 2019 et que les faits dont les conséquences juridiques sont en cause, à savoir en particulier les actes délictueux du recourant ayant conduit à la peine privative de liberté de sept ans et de six mois, se sont produits avant cette date, le présent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 ATA/409/2020 du 30 avril 2020 consid. 3 ; ATA/1798/2019 du 10 décembre 2019 consid. 3a). 3)</w:t>
      </w:r>
    </w:p>
    <w:p>
      <w:r>
        <w:t>Le présent litige soulève la question du bien-fondé de la décision de révocation de l’autorisation de séjour et du renvoi du recourant, étant précisé que, conformément à l’art. 70 al. 1 de l’ordonnance relative à l'admission, au séjour et à l'exercice d'une activité lucrative du 24 octobre 2007 (OASA - RS 142.201), si un étranger est en détention préventive ou placé dans un établissement pénitentiaire dans le canton qui lui a octroyé l’autorisation ou dans un autre canton, l’autorisation dont il a bénéficié jusqu’alors demeure valable jusqu’à sa libération. L’art. 70 al. 2 phr. 1 OASA dispose que les conditions de séjour doivent être une nouvelle fois fixées au plus tard au moment de sa libération, conditionnelle ou non, ou de l’exécution pénale.</w:t>
      </w:r>
    </w:p>
    <w:p>
      <w:r>
        <w:t>a. En détention depuis le 17 mars 2015, le recourant a été condamné à une peine privative de liberté de sept ans et six mois en avril 2017. Il est le père d’une enfant mineure de nationalité suisse qu’il ne voit plus depuis son arrestation le 17 mars 2015. Depuis cette date, il est séparé de la mère de sa fille. Il s’est vu retirer l’autorité parentale et la garde sur cette dernière sans se voir accorder de droit de visite, ce qui a été confirmé dans le jugement de divorce de juillet 2018.</w:t>
      </w:r>
    </w:p>
    <w:p>
      <w:r>
        <w:t>Tandis que le TAPI confirme, à l’instar de l’OCPM, la révocation de l’autorisation de séjour et le renvoi du recourant, ce dernier invoque le droit de pouvoir bénéficier d’une autorisation de séjour principalement afin de pouvoir travailler et de rester auprès de sa fille. Ce faisant, il ne conteste, à juste titre, pas l’existence d’un motif de révocation au sens de l’art. 62 al. 1 let. b LEI.</w:t>
      </w:r>
    </w:p>
    <w:p>
      <w:r>
        <w:t>Selon cette disposition, l’autorité compétente peut révoquer une autorisation de séjour lorsque l’étranger a été condamné à une peine privative de liberté de longue durée. Selon la jurisprudence, une peine privative de liberté est considérée comme de longue durée lorsqu’elle dépasse un an d’emprisonnement (arrêt du Tribunal fédéral 2D_61/2015 du 8 avril 2016 consid. 2.1 ; ATA/1721/2019 du 26 novembre 2019 consid. 6a). Il en va notamment de même d’une peine privative de liberté de vingt mois (arrêt du Tribunal fédéral 2C_130/2020 du 24 avril 2020 consid. 6.2).</w:t>
      </w:r>
    </w:p>
    <w:p>
      <w:r>
        <w:t>Ainsi, la peine de sept ans et six mois de prison infligée au recourant ne peut qu’être qualifiée de longue durée au sens de la jurisprudence fédérale, de sorte que l’autorisation de séjour de l’intéressé peut être révoquée en application de l’art. 62</w:t>
      </w:r>
    </w:p>
    <w:p>
      <w:r>
        <w:t>- 10/18 - A/4209/2018 al. 1 let. b LEI. Dès lors, conformément à l’art. 51 al. 2 let. b LEI, le droit au regroupement familial du recourant s’éteint, sous réserve du respect du principe de proportionnalité et de l’art. 8 CEDH examinés ci-dessous, de sorte qu’il n’y a en l’espèce pas lieu de vérifier les conditions de l’octroi d’une autorisation de séjour sur la base de l’art. 50 LEI.</w:t>
      </w:r>
    </w:p>
    <w:p>
      <w:r>
        <w:t>b. Par ailleurs, dans la mesure où les infractions, pour lesquelles le recourant a été condamné à une peine privative de liberté de sept ans et six mois, ont toutes été commises avant le 1er octobre 2016, l’art. 62 al. 2 LEI ne trouve in casu pas application, selon lequel est illicite toute révocation fondée uniquement sur des infractions pour lesquelles un juge pénal a déjà prononcé une peine ou une mesure mais a renoncé à prononcer une expulsion. Cette disposition a son pendant à l’art. 63 al. 3 LEI s’agissant de la révocation d’une autorisation d’établissement. Ces normes sont entrées en vigueur le 1er octobre 2016, dans le cadre de la mise en œuvre des dispositions constitutionnelles relatives au renvoi des étrangers criminels ayant entre autre conduit à l’adoption de l’art. 66a du Code pénal suisse du 21 décembre 1937 (CP - RS 311.0), entré en vigueur à la même date, relatif à l’expulsion obligatoire d’un étranger condamné à certaines infractions telles que meurtre, lésions corporelles graves ou actes d’ordre sexuel avec des enfants.</w:t>
      </w:r>
    </w:p>
    <w:p>
      <w:r>
        <w:t>Conformément à la jurisprudence du Tribunal fédéral, l’art. 66a CP ne s’applique qu’aux infractions commises après le 1er octobre 2016 (arrêt du Tribunal fédéral 2C_1154/2018 du 18 novembre 2019 consid. 2.1.2 et la référence citée). Toutefois, il a précisé, s’agissant des infractions commises avant cette date, que lorsque le juge pénal doit examiner l’existence d’un cas de rigueur au sens de l’art. 66a al. 2 CP – ce qui implique l’existence d’infractions réalisées après le 1er octobre 2016 –, il doit alors notamment prendre en compte tous les comportements délictueux de l’intéressé, y compris ceux commis antérieurement au 1er octobre 2016. Cela signifie qu’à partir de ce jugement pénal, l’autorité administrative respectivement l’autorité judiciaire administrative n’est plus compétente pour révoquer l’autorisation d’établissement – respectivement de séjour – et prononcer un renvoi de Suisse pour les faits que le juge pénal devait prendre en considération dans son examen du cas de rigueur. Retenir le contraire reviendrait, selon le Tribunal fédéral, à réintroduire le dualisme entre les autorités pénale et administrative qui existait sous l’ancien droit avec l’expulsion judiciaire, ce que le législateur a précisément voulu éviter. C’est dans cet esprit que le législateur a prescrit, aux art. 63 al. 3 et 62 al. 2 LEI, que toute révocation fondée uniquement sur des infractions pour lesquelles un juge pénal a déjà prononcé une peine ou une mesure, mais a renoncé à prononcer une expulsion est illicite (arrêt du Tribunal fédéral 2C_1154/2018 précité consid. 2.2 ; cf. en matière d’autorisation de séjour : arrêt du Tribunal fédéral 2C_362/2019 du 10 janvier 2020 consid. 8.1). Même dans une telle hypothèse, l’autorité compétente en matière de droit des étrangers conserve la compétence de révoquer ou refuser une autorisation sur le vu d’autres éléments non liés à l’infraction, tels que – par</w:t>
      </w:r>
    </w:p>
    <w:p>
      <w:r>
        <w:t>- 11/18 - A/4209/2018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 du Tribunal fédéral 2C_362/2019 précité consid. 8.1).</w:t>
      </w:r>
    </w:p>
    <w:p>
      <w:r>
        <w:t>In casu, la question ne se pose pas dans la mesure où aucune mesure d’expulsion au sens de l’art. 66a CP n’a été prononcée par le Tribunal correctionnel le 6 avril 2017 qui, dans la mesure où les faits concernés étaient antérieurs au 1er octobre 2016. C’est ainsi à bon droit que l’autorité administrative a considéré qu’elle était compétente pour révoquer l’autorisation de séjour du recourant. 4)</w:t>
      </w:r>
    </w:p>
    <w:p>
      <w:r>
        <w:t>En exprimant le souhait de rester en Suisse, malgré ses actes pénalement répréhensibles, pour y travailler et être auprès de sa fille, le recourant demande à bénéficier d’une autorisation de séjourner en Suisse fondée sur la présence sur ledit territoire de sa fille mineure, de nationalité suisse. Il se prévaut ainsi implicitement du droit au respect de sa vie familiale, garanti par l’art. 8 CEDH.</w:t>
      </w:r>
    </w:p>
    <w:p>
      <w:r>
        <w:t>a. Selon la jurisprudence, l'art. 8 CEDH ne confère en principe pas un droit à séjourner dans un État déterminé :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ou au maintien d'un titre de séjour et l'intérêt public à son refus ou à sa révocation (ATF 144 I 91 consid. 4.2 ; arrêt du Tribunal fédéral 2C_59/2020 du 30 avril 2020 consid. 5.1 et les références citées). Cette exigence de proportionnalité découle aussi de l’art. 96 LEI, étant rappelé que l’examen requis par cette disposition se confond avec celui imposé par l’art. 8 § 2 CEDH (arrêt du Tribunal fédéral 2C_903/2019 du 10 janvier 2020 consid. 4.2).</w:t>
      </w:r>
    </w:p>
    <w:p>
      <w:r>
        <w:t>b. Selon la jurisprudence, le parent étranger qui n'a pas l'autorité parentale ni la garde d'un enfant mineur disposant d'un droit durable de résider en Suisse et qui</w:t>
      </w:r>
    </w:p>
    <w:p>
      <w:r>
        <w:t>- 12/18 - A/4209/2018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(ATF 143 I 21 consid. 5.2 ; 142 II 35 consid. 6.1 et 6.2). Ces exigences doivent être appréciées ensemble et faire l'objet d'une pesée des intérêts globale (ATF 144 I 91 consid. 5 et les références citées ; ATA/1798/2019 du 10 décembre 2019 consid. 4b et les références citées).</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 ATA/1798/2019 du 10 décembre 2019 consid. 4b et les références citées).</w:t>
      </w:r>
    </w:p>
    <w:p>
      <w:r>
        <w:t>c. De jurisprudence constante, la question de la proportionnalité d'une révocation ou du refus de prolongation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w:t>
      </w:r>
    </w:p>
    <w:p>
      <w:r>
        <w:t>- 13/18 - A/4209/2018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La durée de séjour en Suisse d'un étranger constitue un autre critère très important. Plus cette durée est longue, plus les conditions pour prononcer l'expulsion administrative doivent être appréciées restrictivement (arrêt du Tribunal fédéral 2C_59/2020 précité consid. 5.1 et les références citées). Les années passées dans l'illégalité, en prison ou au bénéfice d'une simple tolérance ne sont pas déterminantes dans la pesée des intérêts (arrêt du Tribunal fédéral 2C_303/2018 du 20 juin 2018 consid. 5.2 et les références citées). Il faut aussi tenir compte de l’intérêt supérieur de l’enfant et de son droit à ne pas être séparé de ses parents, en vertu des art. 3 § 1 et 9 § 1 de la Convention du 20 novembre 1989 relative aux droits de l'enfant (CDE - RS 0.107), étant précisé que ces dispositions ne confèrent pas une prétention directe à l'octroi ou au maintien d'une autorisation (ATF 144 I 91 consid. 5.2 ; 140 I 145 consid. 3.2 ; arrêts du Tribunal fédéral 2C_59/2020 précité consid. 5.5 ; 2C_903/2019 précité consid. 4.3 et consid. 4.4).</w:t>
      </w:r>
    </w:p>
    <w:p>
      <w:r>
        <w:t>Selon la jurisprudence, une condamnation du conjoint étranger d'un ressortissant suisse à deux ans de privation de liberté constitue la limite à partir de laquelle, en général, il y a lieu de refuser l'autorisation de séjour (ATF 139 I 145 consid. 3.4-3.9 ; arrêt 2C_903/2019 précité consid. 4.4 et les références citées).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Lors d'infractions pénales graves, il existe, sous réserve de liens personnels ou familiaux prépondérants, un intérêt public digne de protection à mettre fin au séjour d'un étranger afin de préserver l'ordre public et à prévenir de nouveaux actes délictueux. S'agissant du risque de récidive, il est de toute façon attendu du délinquant qu'il se comporte de manière adéquate durant l'exécution de sa peine (arrêt du Tribunal fédéral 2C_781/2018 du 28 août 2019 consid. 4.3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w:t>
      </w:r>
    </w:p>
    <w:p>
      <w:r>
        <w:t>- 14/18 - A/4209/2018</w:t>
      </w:r>
    </w:p>
    <w:p>
      <w:r>
        <w:t>d. En l’espèce, il n’est pas contesté que le recourant ne voit plus sa fille depuis son arrestation le 17 mars 2015, ni ne bénéficie d’un droit de visite, formellement suspendu depuis le jugement du TPI du 28 septembre 2015. À cela s’ajoutent non seulement les circonstances susmentionnées l’ayant conduit en prison, mais surtout son attitude face aux violences importantes qu’il a fait subir à la mère de sa fille, en partie devant celle-ci, avec les graves conséquences en découlant pour le développement psychique de son enfant alors en bas âge.</w:t>
      </w:r>
    </w:p>
    <w:p>
      <w:r>
        <w:t>En effet, comme cela ressort du rapport du SEASP du 13 novembre 2017 et du jugement du TPI du 12 juillet 2018, Mme E______ a subi d’importantes violences conjugales depuis ses 15 ans. M. A______ a usé, de façon répétée, d’une grande violence à son égard, en partie en présence de leur fille, comme déjà relevé. Celle-ci a aussi souffert d’importants problèmes d’élocution ayant nécessité une importante et durable prise en charge thérapeutique. En avril 2018, selon les déclarations de sa mère au TPI, elle souffrait encore de cauchemars et de résurgence de mauvais souvenirs après avoir reçu une lettre de son père du 2 février précédent. Il doit ainsi être constaté que l’absence du père a permis à l’enfant de voir son état de santé évoluer lentement mais favorablement.</w:t>
      </w:r>
    </w:p>
    <w:p>
      <w:r>
        <w:t>Malgré la gravité de ses actes, sanctionnés par une lourde peine de sept ans et six mois de prison, et en dépit de ses allégations concernant l’amour qu’il porte à sa fille et son souhait de vivre proche de celle-ci, l’intéressé n’a entrepris aucune démarche par rapport à son potentiel de violence, en particulier dans le milieu intrafamilial, afin de se donner les outils lui permettant à l’avenir d’éviter de tels comportements qu’il avait également adoptés au détriment de la maîtresse d’école de sa fille. En outre, la CED a estimé, dans le cadre de l’examen de la libération conditionnelle du recourant déposée début décembre 2019, qu’il présentait un danger pour la collectivité dans ce cadre, en particulier en raison de la nette discrépance entre ses propos (respect de l’ordre juridique et suivi thérapeutique volontaire) et les éléments contenus dans son dossier (les nombreuses sanctions disciplinaires et l’absence d’investissement thérapeutique malgré les recommandations faites à ce sujet).</w:t>
      </w:r>
    </w:p>
    <w:p>
      <w:r>
        <w:t>Dans ces circonstances et en l’absence d’un suivi thérapeutique approprié et ciblé, il est peu probable que le recourant soit capable d’éviter à l’avenir de recourir à la violence. L’ensemble des éléments susmentionnés tend dès lors à conclure que la présence de M. A______ auprès de sa fille ne correspond pas à l’intérêt de cette dernière. Pour ce motif et en l’absence de liens étroits effectifs entre le recourant et sa fille, l’intéressé ne peut se prévaloir du droit à la vie familiale découlant de l’art. 8 CEDH.</w:t>
      </w:r>
    </w:p>
    <w:p>
      <w:r>
        <w:t>Quant à la question de la proportionnalité de la révocation litigieuse, il y a lieu de considérer qu’en sus des considérations susévoquées d’ordre familial, l’intérêt public à la révocation de l’autorisation de séjour du recourant et à son renvoi de Suisse prévaut nettement sur son intérêt privé à demeurer dans ce pays.</w:t>
      </w:r>
    </w:p>
    <w:p>
      <w:r>
        <w:t>- 15/18 - A/4209/2018 En effet, il a commis des infractions graves portant fortement atteinte à des biens juridiques importants, tels que l’intégrité corporelle et sexuelle, et s’est vu infliger une lourde peine de prison. De plus, il n’était pas intégré en Suisse avant sa mise en détention, dans la mesure où, en sus de ses condamnations pénales, il dépendait de l’assistance publique et qu’il ne subvenait pas à ses besoins et à ceux de sa famille. Hormis le temps passé en prison, son séjour en Suisse depuis son retour en janvier 2012 n’a été que de trois ans et quelques semaines jusqu’à son arrestation en mars 2015. En l’absence d’une prise en charge thérapeutique par rapport à son comportement violent et étant donné la forte probabilité qu’il n’obtienne pas, vu les considérations exposées plus haut des professionnels concernant l’état de santé de sa fille, un droit de visite dans un futur proche, le risque qu’il commette à nouveau des actes violents, en particulier à l’encontre de la mère de sa fille, qui a d’ailleurs exprimé ses grandes craintes à ce sujet en octobre 2019, doit être, en l’espèce, qualifié d’élevé, voire très élevé comme l’a estimé le TAPEM dans son jugement du 30 mars 2020, largement confirmé par l’arrêt de la chambre pénale de recours de la Cour de justice. À cela s’ajoutent, comme l’a relevé le TAPI, les bonnes chances de réinsertion du recourant dans son pays d’origine.</w:t>
      </w:r>
    </w:p>
    <w:p>
      <w:r>
        <w:t>Par conséquent, à la lumière de tous ces éléments, la chambre administrative ne peut que constater que la révocation de l’autorisation de séjour du recourant respecte le principe de proportionnalité. Le recours sera donc rejeté sur ce point. 5)</w:t>
      </w:r>
    </w:p>
    <w:p>
      <w:r>
        <w:t>Selon l'art. 64 al. 1 let. c LEI, les autorités compétentes rendent une décision de renvoi ordinaire à l'encontre d'un étranger auquel l'autorisation de séjour est refusée ou dont l'autorisation est révoquée. Elles ne disposent à ce titre d'aucun pouvoir d'appréciation, le renvoi constituant la conséquence logique et inéluctable du rejet d'une demande d'autorisation (ATA/1798/2019 du 10 décembre 2019 consid. 4b et les références citées).</w:t>
      </w:r>
    </w:p>
    <w:p>
      <w:r>
        <w:t>Le recourant étant dépourvu d'une autorisation de séjour lui permettant de demeurer en Suisse, son renvoi vers la Jamaïque a été prononcé à juste titre. Pour le surplus, il n'apparaît pas, vu le nouveau contexte sanitaire lié à la pandémie Covid-19, que l'exécution de cette mesure ne serait pas possible, serait illicite ou qu'elle ne pourrait être raisonnablement exigée au sens de l'art. 83 LEI. 6)</w:t>
      </w:r>
    </w:p>
    <w:p>
      <w:r>
        <w:t>Au vu de ce qui précède, le recours sera rejeté.</w:t>
      </w:r>
    </w:p>
    <w:p>
      <w:r>
        <w:t>Vu l'issue du litige et le refus de l’assistance juridique, un émolument de CHF 400.- sera mis à la charge du recourant, qui ne peut se voir allouer une indemnité de procédure (art. 87 LPA).</w:t>
      </w:r>
    </w:p>
    <w:p>
      <w:r>
        <w:t>- 16/18 - A/4209/2018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