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ATA/592/2010 vom 31. August 2010</w:t>
      </w:r>
    </w:p>
    <w:p>
      <w:r>
        <w:t>GE Cour de justice, 2010-08-31, FR</w:t>
      </w:r>
    </w:p>
    <w:p>
      <w:r>
        <w:rPr>
          <w:b/>
        </w:rPr>
        <w:t xml:space="preserve">Quelle: </w:t>
      </w:r>
      <w:r>
        <w:t>https://mcp.opencaselaw.ch/entscheid/ge_gerichte_ATA_592_2010</w:t>
      </w:r>
    </w:p>
    <w:p>
      <w:r>
        <w:t>FR: GE_GERICHTE ATA/592/2010 du 31 août 2010</w:t>
      </w:r>
    </w:p>
    <w:p>
      <w:r>
        <w:t>IT: GE_GERICHTE ATA/592/2010 del 31 agosto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département soutient que le recours est irrecevable, en se fondant sur l'art. 7 al. 2 RDAge.</w:t>
      </w:r>
    </w:p>
    <w:p>
      <w:r>
        <w:t>Selon cette disposition, le recours contre un refus de dispense d'âge n'est recevable que s'il y a violation d'une prescription légale ou règlementaire. Cette teneur pour le moins insolite, puisqu'un examen négatif au fond aboutirait non pas à un rejet mais à une irrecevabilité, est contraire aux art. 56A LOJ et 61 al. 1 LPA, selon lesquels le recours est ouvert devant le tribunal de céans, juridiction supérieure ordinaire en la matière, pour violation du droit, y compris l'excès et l'abus du pouvoir d'appréciation, ainsi que pour constatation inexacte ou incomplète des faits pertinents. Seule une disposition de droit fédéral ou une loi cantonale formelle aurait pu soustraire en tout ou partie les décisions de refus de dispense d'âge à la compétence rationae materiae du Tribunal administratif (art. 56B LOJ), à l'exclusion d'un simple règlement cantonal. Le recours est donc recevable.</w:t>
      </w:r>
    </w:p>
    <w:p>
      <w:r>
        <w:rPr>
          <w:b/>
        </w:rPr>
        <w:t>E. 3</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 que définie au chapitre III, dont l'art. 5 fait partie, dans un délai maximal de six ans après l'entrée en vigueur de l'accord. Selon l'art. 15 HarmoS, l'assemblée plénière de la conférence suisse de directeurs cantonaux de l'instruction publique (ci-après : CDIP) décide de la date d'abrogation de l'art. 2 du concordat</w:t>
      </w:r>
    </w:p>
    <w:p>
      <w:r>
        <w:t>- 5/8 - A/2260/2010 intercantonal sur la coordination scolaire, du 29 octobre 1970 (CICS - C 1 05), qui prévoit notamment que l'âge d'entrée à l'école est fixé à 6 ans révolus au 30 juin, les cantons pouvant avancer ou retarder cette date dans une limite de quatre mois. Au 31 juillet 2010, l'art. 2 CICS n'avait pas été abrogé (Recueil des bases légales de la CDIP consultable sur le site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quatrième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le CDIP, disponible en ligne sur le site http://www.cdip.ch/dyn/15414.php.</w:t>
      </w:r>
    </w:p>
    <w:p>
      <w:r>
        <w:rPr>
          <w:b/>
        </w:rPr>
        <w:t>E. 4</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5</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RDAge dont l'art. 1 prévoit :</w:t>
      </w:r>
    </w:p>
    <w:p>
      <w:r>
        <w:t>« L'âge d'entrée à l'école obligatoire est fixé à 6 ans révolus au 30 juin. Par voie de conséquence, les enfants qui atteignent :</w:t>
      </w:r>
    </w:p>
    <w:p>
      <w:r>
        <w:t>- 6/8 - A/2260/2010</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w:t>
      </w:r>
    </w:p>
    <w:p>
      <w:r>
        <w:t>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est de permettre aux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w:t>
      </w:r>
    </w:p>
    <w:p>
      <w:r>
        <w:rPr>
          <w:b/>
        </w:rPr>
        <w:t>E. 6</w:t>
      </w:r>
    </w:p>
    <w:p>
      <w:r>
        <w:t>Toutefois,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w:t>
      </w:r>
    </w:p>
    <w:p>
      <w:r>
        <w:t>- 7/8 - A/2260/2010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(ATA/497/2010, ATA/498/2010, ATA/499/2010 et ATA/500/2010 du 3 août 2010). Au demeurant, quand bien même la nouvelle réglementation a des incidences sur leur organisation familiale, ils disposent de plus d’une année pour pouvoir trouver des aménagements, à l’instar de l’ensemble des parents d’enfants nés après le 31 août 2007.</w:t>
      </w:r>
    </w:p>
    <w:p>
      <w:r>
        <w:rPr>
          <w:b/>
        </w:rPr>
        <w:t>E. 7</w:t>
      </w:r>
    </w:p>
    <w:p>
      <w:r>
        <w:t>Au vu de ce qui précède, le recours sera rejeté.</w:t>
      </w:r>
    </w:p>
    <w:p>
      <w:r>
        <w:t>Un émolument de CHF 300.- sera mis à la charge des recourants, pris conjointement et solidairement,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