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ATA/591/2015 vom 9. Juni 2015</w:t>
      </w:r>
    </w:p>
    <w:p>
      <w:r>
        <w:t>GE Cour de justice, 2015-06-09, FR</w:t>
      </w:r>
    </w:p>
    <w:p>
      <w:r>
        <w:rPr>
          <w:b/>
        </w:rPr>
        <w:t xml:space="preserve">Quelle: </w:t>
      </w:r>
      <w:r>
        <w:t>https://mcp.opencaselaw.ch/entscheid/ge_gerichte_ATA_591_2015</w:t>
      </w:r>
    </w:p>
    <w:p>
      <w:r>
        <w:t>FR: GE_GERICHTE ATA/591/2015 du 9 juin 2015</w:t>
      </w:r>
    </w:p>
    <w:p>
      <w:r>
        <w:t>IT: GE_GERICHTE ATA/591/2015 del 9 giugno 2015</w:t>
      </w:r>
    </w:p>
    <w:p>
      <w:pPr>
        <w:pStyle w:val="Heading2"/>
      </w:pPr>
      <w:r>
        <w:t>Erwägungen</w:t>
      </w:r>
    </w:p>
    <w:p>
      <w:r>
        <w:rPr>
          <w:b/>
        </w:rPr>
        <w:t>E. 26</w:t>
      </w:r>
    </w:p>
    <w:p>
      <w:r>
        <w:t>septembre 2010 - LOJ - E 2 05 ; art. 62 al. 1 let. a de la loi sur la procédure administrative du 12 septembre 1985 - LPA - E 5 10). 2)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- 4/7 - A/3189/2014</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w:t>
      </w:r>
    </w:p>
    <w:p>
      <w:r>
        <w:rPr>
          <w:b/>
        </w:rPr>
        <w:t>E. 29</w:t>
      </w:r>
    </w:p>
    <w:p>
      <w:r>
        <w:t>juillet 2014 consid. 5a ; ATA/790/2012 du 20 novembre 2012 ; ATA/281/2012 du 8 mai 2012 ; ATA/5/2009 du 13 janvier 2009 et les références citées).</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 27 septembre 2005 ; ATA/552/2005 du 16 août 2005).</w:t>
      </w:r>
    </w:p>
    <w:p>
      <w:r>
        <w:t>En l’espèce, nonobstant le fait que la mesure d’éloignement litigieuse a cessé, le recourant garde un intérêt personnel digne de protection à ce que le dispositif du jugement attaqué soit annulé, de sorte que, sous cet angle également, le recours est recevable. 3)</w:t>
      </w:r>
    </w:p>
    <w:p>
      <w:r>
        <w:t>La loi sur les violences domestiques du 16 septembre 2005 (LVD - F 1 30)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w:t>
      </w:r>
    </w:p>
    <w:p>
      <w:r>
        <w:t>En vertu de l’art. 8 LVD, la police peut prononcer une mesure d’éloignement à l’encontre de l’auteur présumé d’actes de violence domestique si</w:t>
      </w:r>
    </w:p>
    <w:p>
      <w:r>
        <w:t>- 5/7 - A/3189/2014 elle paraît propre à empêcher la réitération de tels actes. Une telle mesure, prononcée pour une durée de dix jours au moins et de trente jours au plus, consiste à interdire à l’auteur présumé soit de pénétrer dans un secteur ou dans des lieux déterminés, soit de contacter ou approcher une ou plusieurs personnes.</w:t>
      </w:r>
    </w:p>
    <w:p>
      <w:r>
        <w:t>Aux termes de l’art. 11 LVD, la personne éloignée peut s’opposer à la mesure dans un délai de six jours dès sa notification, par simple déclaration écrite adressée au TAPI. L’opposition n’a pas d’effet suspensif. Le TAPI dispose pour statuer d’un délai de quatre jours dès réception de l’opposition et s’il n’a pas statué à l’échéance du délai, la mesure cesse de déployer ses effets. Son pouvoir d’examen s’étend à l’opportunité. 4)</w:t>
      </w:r>
    </w:p>
    <w:p>
      <w:r>
        <w:t>La prolongation de la mesure d’éloignement litigieuse ayant pris fin avant même le dépôt du recours, la chambre administrative doit uniquement examiner ci-après si cette mesure se justifiait à la date du jugement du TAPI et sur la base des éléments de fait que cette juridiction avait à disposition. 5)</w:t>
      </w:r>
    </w:p>
    <w:p>
      <w:r>
        <w:t>En l’espèce, la mesure initiale a été prononcée par l’officier de police alors qu’il avait en mains des déclarations sans équivoques de l’épouse du recourant et du fils de cette dernière, qui a au surplus porté plainte : M. A______ s’en était pris physiquement à son beau-fils, lequel avait très récemment été victime d’une commotion cérébrale qui nécessitait encore une surveillance.</w:t>
      </w:r>
    </w:p>
    <w:p>
      <w:r>
        <w:t>M. A______ a, quant à lui, contesté toute violence, indiquant ne pas avoir eu de contact physique avec son beau-fils et savoir qu’il fallait « faire attention » à ce dernier suite à sa blessure à la tête, laquelle pouvait entraîner des sautes d’humeur.</w:t>
      </w:r>
    </w:p>
    <w:p>
      <w:r>
        <w:t>Lors de l’audience devant le TAPI, et après qu’il ait formellement retiré sa plainte, le beau-fils du recourant a encore confirmé que ce dernier l’avait saisi par le col de son T-shirt. L’épouse du recourant a, quant à elle, confirmé que les deux protagonistes « cherchaient à s’empoigner ».</w:t>
      </w:r>
    </w:p>
    <w:p>
      <w:r>
        <w:t>Il existait dès lors, à la date du jugement querellé, des indices sérieux de commission par le recourant d’actes de violence à l’encontre de son beau-fils, lequel était particulièrement fragile, étant convalescent suite à une commotion cérébrale. 6)</w:t>
      </w:r>
    </w:p>
    <w:p>
      <w:r>
        <w:t>Au vu de ce qui précède, le TAPI était fondé à retenir un risque de réitération d’actes de violence domestique et à confirmer la mesure litigieuse.</w:t>
      </w:r>
    </w:p>
    <w:p>
      <w:r>
        <w:t>Le jugement querellé étant conforme au droit, le recours sera rejeté. 7)</w:t>
      </w:r>
    </w:p>
    <w:p>
      <w:r>
        <w:t>Malgré l’issue du litige, il ne sera pas perçu d’émolument (art. 87 al. 1 LPA). Aucune indemnité de procédure ne lui sera allouée (art. 87 al. 2 LPA).</w:t>
      </w:r>
    </w:p>
    <w:p>
      <w:r>
        <w:t>- 6/7 - A/3189/2014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