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ATA/591/2014 vom 29. Juli 2014</w:t>
      </w:r>
    </w:p>
    <w:p>
      <w:r>
        <w:t>GE Cour de justice, 2014-07-29, FR</w:t>
      </w:r>
    </w:p>
    <w:p>
      <w:r>
        <w:rPr>
          <w:b/>
        </w:rPr>
        <w:t xml:space="preserve">Quelle: </w:t>
      </w:r>
      <w:r>
        <w:t>https://mcp.opencaselaw.ch/entscheid/ge_gerichte_ATA_591_2014</w:t>
      </w:r>
    </w:p>
    <w:p>
      <w:r>
        <w:t>FR: GE_GERICHTE ATA/591/2014 du 29 juillet 2014</w:t>
      </w:r>
    </w:p>
    <w:p>
      <w:r>
        <w:t>IT: GE_GERICHTE ATA/591/2014 del 29 luglio 2014</w:t>
      </w:r>
    </w:p>
    <w:p>
      <w:pPr>
        <w:pStyle w:val="Heading2"/>
      </w:pPr>
      <w:r>
        <w:t>Erwägungen</w:t>
      </w:r>
    </w:p>
    <w:p>
      <w:r>
        <w:rPr>
          <w:b/>
        </w:rPr>
        <w:t>E. 26</w:t>
      </w:r>
    </w:p>
    <w:p>
      <w:r>
        <w:t>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w:t>
      </w:r>
    </w:p>
    <w:p>
      <w:r>
        <w:t>- 4/7 - A/1512/2014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SPUHLER/Annette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w:t>
      </w:r>
    </w:p>
    <w:p>
      <w:r>
        <w:rPr>
          <w:b/>
        </w:rPr>
        <w:t>E. 28</w:t>
      </w:r>
    </w:p>
    <w:p>
      <w:r>
        <w:t>juillet 2009).</w:t>
      </w:r>
    </w:p>
    <w:p>
      <w:r>
        <w:t>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(ATA/183/2013 du 19 mars 2013 et la jurisprudence citée).</w:t>
      </w:r>
    </w:p>
    <w:p>
      <w:r>
        <w:t>Le recours est donc recevable à tous points de vue.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w:t>
      </w:r>
    </w:p>
    <w:p>
      <w:r>
        <w:t>- 5/7 - A/1512/2014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MOOR/Etienne POLTIER, Droit administratif, vol. 2, 3ème éd., 2011, p. 142 à 145 et la jurisprudence citée). 4)</w:t>
      </w:r>
    </w:p>
    <w:p>
      <w:r>
        <w:t>Le statut des personnes incarcérées à la prison est régi par le règlement sur le régime intérieur de la prison et le statut des personnes incarcérées du</w:t>
      </w:r>
    </w:p>
    <w:p>
      <w:r>
        <w:rPr>
          <w:b/>
        </w:rPr>
        <w:t>E. 30</w:t>
      </w:r>
    </w:p>
    <w:p>
      <w:r>
        <w:t>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des autres personnes incarcérées (art. 44 RRIP) et n’a d’aucune façon le droit de troubler l’ordre et la tranquillité de la prison (art. 45 let. h RRIP). 5)</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Le directeur est compétent pour prononcer les sanctions suivantes :</w:t>
      </w:r>
    </w:p>
    <w:p>
      <w:r>
        <w:t>a) suppression de visite pour quinze jours au plus ;</w:t>
      </w:r>
    </w:p>
    <w:p>
      <w:r>
        <w:t>b) suppression des promenades collectives ;</w:t>
      </w:r>
    </w:p>
    <w:p>
      <w:r>
        <w:t>c) suppression d’achat pour quinze jours au plus ;</w:t>
      </w:r>
    </w:p>
    <w:p>
      <w:r>
        <w:t>d) suppression de l’usage des moyens audiovisuels pour quinze jours au plus ;</w:t>
      </w:r>
    </w:p>
    <w:p>
      <w:r>
        <w:t>e) privation de travail ;</w:t>
      </w:r>
    </w:p>
    <w:p>
      <w:r>
        <w:t>f) placement en cellule forte pour cinq jours au plus (art. 47 al. 3 RRIP), étant précisé que ces sanctions peuvent se cumuler (art. 47 al. 4 RRIP). 6) a. En l’espèce, la décision litigieuse porte, comme unique motivation, les termes « dégradation des locaux », sans mentionner un éventuel vol, ce qui interdit de retenir le fait que l’intéressé ait été en possession d’un calepin et d’un jeu lors de son transfert à la prison comme justifiant la sanction.</w:t>
      </w:r>
    </w:p>
    <w:p>
      <w:r>
        <w:t>b. En ce qui concerne le premier incident, soit le dommage causé par le recourant au plafond d’une cellule alors qu’il jouait avec une bouteille d’eau, il apparaît difficile d’y voir une quelconque intention ou même une négligence</w:t>
      </w:r>
    </w:p>
    <w:p>
      <w:r>
        <w:t>- 6/7 - A/1512/2014 coupable. Le fait que l’intéressé ait immédiatement appelé le personnel permet de penser qu’il n’entendait pas porter atteinte à sa cellule. De plus, le dossier ne contient aucune information sur l’état de l’intéressé à ce moment précis. L’ensemble de ces éléments ne permet pas de retenir cet incident à charge du recourant.</w:t>
      </w:r>
    </w:p>
    <w:p>
      <w:r>
        <w:t>c. Tel n’est pas le cas du deuxième incident, soit le fait d’avoir démonté le détecteur incendie de sa cellule. Il n’est en effet pas concevable de réaliser un tel acte autrement que volontairement et l’on peut déduire du fait que le médecin consulté trente minutes après le retentissement de l’alarme ait ordonné le retour de l’intéressé à la prison que ce dernier était à ce moment dans un état normal ne nécessitant plus de soins.</w:t>
      </w:r>
    </w:p>
    <w:p>
      <w:r>
        <w:t>Le démontage d’un tel détecteur constitue un acte qui ne doit pas être minimisé, le risque présenté par le feu dans un établissement médical, comme dans un établissement pénitentiaire, devant être pris extrêmement au sérieux. À lui seul, cet élément justifie la sanction prononcée, laquelle, certes sévère, respecte encore le principe de la proportionnalité. 7)</w:t>
      </w:r>
    </w:p>
    <w:p>
      <w:r>
        <w:t>Le recours sera rejeté. Vu la nature du litige, aucun émolument ne sera perçu (art. 12 al. 1 du règlement sur les frais, émoluments et indemnités en procédure administrative du 30 juillet 1986 - RFPA - E 5 10.03).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