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ATA/591/2008 vom 9. Juli 2008</w:t>
      </w:r>
    </w:p>
    <w:p>
      <w:r>
        <w:t>GE Cour de justice, 2008-07-09, FR</w:t>
      </w:r>
    </w:p>
    <w:p>
      <w:r>
        <w:rPr>
          <w:b/>
        </w:rPr>
        <w:t xml:space="preserve">Quelle: </w:t>
      </w:r>
      <w:r>
        <w:t>https://mcp.opencaselaw.ch/entscheid/ge_gerichte_ATA_591_2008</w:t>
      </w:r>
    </w:p>
    <w:p>
      <w:r>
        <w:t>FR: GE_GERICHTE ATA/591/2008 du 9 juillet 2008</w:t>
      </w:r>
    </w:p>
    <w:p>
      <w:r>
        <w:t>IT: GE_GERICHTE ATA/591/2008 del 9 luglio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Chacun doit respecter les signaux et les marques et, en particulier, les signaux fixant une vitesse maximale (art. 27 al. 1 LCR ; 16 et 22 de l’ordonnance sur la signalisation routière du 5 septembre 1979 - OSR - RS 741.21 ; ATF 108 IV 62).</w:t>
      </w:r>
    </w:p>
    <w:p>
      <w:r>
        <w:rPr>
          <w:b/>
        </w:rPr>
        <w:t>E. 3</w:t>
      </w:r>
    </w:p>
    <w:p>
      <w:r>
        <w:t>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 ATF 121 II 127, JdT 1995 I 664).</w:t>
      </w:r>
    </w:p>
    <w:p>
      <w:r>
        <w:rPr>
          <w:b/>
        </w:rPr>
        <w:t>E. 4</w:t>
      </w:r>
    </w:p>
    <w:p>
      <w:r>
        <w:t>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JdT 1997 I 733, consid. 1e, p. 737), sous réserve de circonstances particulières (ATF 123 II 106, JdT 1997 I 725, consid. 2b, pp. 728-729 et réf. cit.).</w:t>
      </w:r>
    </w:p>
    <w:p>
      <w:r>
        <w:t>Un dépassement de 21 à 24 km/h constitue, quant à lui, une infraction moyennement grave impliquant en règle générale un retrait de permis au sens de l’article 16b LCR.</w:t>
      </w:r>
    </w:p>
    <w:p>
      <w:r>
        <w:t>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w:t>
      </w:r>
    </w:p>
    <w:p>
      <w:r>
        <w:t>- 4/5 - A/2712/2008 la route (art. 16c al. 1 let. a et art. 90 ch. 2 LCR ; ATF 123 II 106, JdT 1997 I 725, consid. 2c, p. 731 et réf. cit. ; ATF 123 II 37, consid. 1d, pp. 40-41, SJ 1997 pp. 527-528 ; Arrêt du Tribunal fédéral du 16 octobre 2008 dans la cause 1C.83/2008 ; ATA/382/1998 du 16 juin 1998).</w:t>
      </w:r>
    </w:p>
    <w:p>
      <w:r>
        <w:rPr>
          <w:b/>
        </w:rPr>
        <w:t>E. 5</w:t>
      </w:r>
    </w:p>
    <w:p>
      <w:r>
        <w:t>En l'espèce, le dépassement de vitesse, au demeurant non contesté, a été de 29 km/h marge de sécurité déduite. Il s'agit donc d'une faute grave, sanctionnée par un retrait obligatoire du permis de conduire. Selon l'article 16c alinéa 2 lettre a LCR, la durée minimale du retrait, en pareille situation, est de trois mois. L'usage d'un permis de conduire étranger peut être interdit en vertu des dispositions qui s'appliquent au retrait du permis de conduire suisse (art. 45 de l’ordonnance réglant l'admission des personnes et des véhicules à la circulation routière du 27 octobre 1976 - OAC - RS 741.51 ; ATF 108 Ib 60-61). En prononçant une interdiction de conduire en Suisse d'une durée de trois mois, le SAN s'en est tenu à la sanction minimale.</w:t>
      </w:r>
    </w:p>
    <w:p>
      <w:r>
        <w:rPr>
          <w:b/>
        </w:rPr>
        <w:t>E. 6</w:t>
      </w:r>
    </w:p>
    <w:p>
      <w:r>
        <w:t>La question de savoir qui conduisait le véhicule incriminé lors de l'autre infraction retenue par le SAN dans la décision querellée, peut demeurer ouverte dès lors que l'autorité a sanctionné l'ensemble des comportements par la mesure minimum prévue pour la plus grave des deux infractions et que, par conséquent, la situation du recourant n'en est pas affectée.</w:t>
      </w:r>
    </w:p>
    <w:p>
      <w:r>
        <w:rPr>
          <w:b/>
        </w:rPr>
        <w:t>E. 7</w:t>
      </w:r>
    </w:p>
    <w:p>
      <w:r>
        <w:t>M. T______ a indiqué qu'il n'avait pas conduit en Suisse depuis fin juillet 2008, en raison de son absence de la région durant le mois d'août, puis, ensuite, parce qu'il était transporté par des collègues de travail. Si les pièces produites par le recourant tendent à démontrer ces allégations, cet aspect relève cependant de l'exécution de la décision, sur lequel le tribunal de céans ne peut se prononcer. Les pièces pertinentes étant transmises au SAN, il appartiendra néanmoins à cette autorité d'en tenir compte, ainsi qu'elle s'y est engagée lors de l'audience de comparution personnelle.</w:t>
      </w:r>
    </w:p>
    <w:p>
      <w:r>
        <w:rPr>
          <w:b/>
        </w:rPr>
        <w:t>E. 8</w:t>
      </w:r>
    </w:p>
    <w:p>
      <w:r>
        <w:t>Au vu de ce qui précède, 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