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ATA/590/2023 vom 6. Juni 2023</w:t>
      </w:r>
    </w:p>
    <w:p>
      <w:r>
        <w:t>GE Cour de justice, 2023-06-06, FR</w:t>
      </w:r>
    </w:p>
    <w:p>
      <w:r>
        <w:rPr>
          <w:b/>
        </w:rPr>
        <w:t xml:space="preserve">Quelle: </w:t>
      </w:r>
      <w:r>
        <w:t>https://mcp.opencaselaw.ch/entscheid/ge_gerichte_ATA_590_2023</w:t>
      </w:r>
    </w:p>
    <w:p>
      <w:r>
        <w:t>FR: GE_GERICHTE ATA/590/2023 du 6 juin 2023</w:t>
      </w:r>
    </w:p>
    <w:p>
      <w:r>
        <w:t>IT: GE_GERICHTE ATA/590/2023 del 6 giugno 2023</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w:t>
      </w:r>
    </w:p>
    <w:p>
      <w:r>
        <w:t>Selon l’art. 62 al. 6 de la loi sur la procédure administrative du 12 septembre 1985 (LPA - E 5 10), une partie peut recourir en tout temps pour déni de justice ou retard non justifié si l’autorité concernée ne donne pas suite rapidement à la mise en demeure prévue à l’art. 4 al. 4 (art. 62 al. 6 LPA). Lorsqu’une autorité mise en demeure refuse sans droit de statuer ou tarde à se prononcer, son silence est assimilé à une décision (art. 4 al. 4 LPA).</w:t>
      </w:r>
    </w:p>
    <w:p>
      <w:r>
        <w:rPr>
          <w:b/>
        </w:rPr>
        <w:t>E. 2</w:t>
      </w:r>
    </w:p>
    <w:p>
      <w:r>
        <w:t>Le recourant a sollicité dans sa réplique la production de « l’intégralité de son dossier ».</w:t>
      </w:r>
    </w:p>
    <w:p>
      <w:r>
        <w:rPr>
          <w:b/>
        </w:rPr>
        <w:t>E. 2.1</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2.2</w:t>
      </w:r>
    </w:p>
    <w:p>
      <w:r>
        <w:t>Comme il sera vu ci-dessous, la chambre administrative dispose de tous les éléments nécessaires pour trancher la cause. Il ne sera dès lors pas fait droit à la demande d’acte d’instruction du recourant, étant au demeurant relevé que ce dernier n’indique pas quelles pièces manqueraient ou seraient susceptibles de manquer dans le classeur produit par l’autorité intimée.</w:t>
      </w:r>
    </w:p>
    <w:p>
      <w:r>
        <w:t>- 6/9 - A/1213/2023</w:t>
      </w:r>
    </w:p>
    <w:p>
      <w:r>
        <w:rPr>
          <w:b/>
        </w:rPr>
        <w:t>E. 3</w:t>
      </w:r>
    </w:p>
    <w:p>
      <w:r>
        <w:t>Il faut examiner si l’autorité intimée a in casu commis un déni de justice.</w:t>
      </w:r>
    </w:p>
    <w:p>
      <w:r>
        <w:rPr>
          <w:b/>
        </w:rPr>
        <w:t>E. 3.1</w:t>
      </w:r>
    </w:p>
    <w:p>
      <w:r>
        <w:t>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w:t>
      </w:r>
    </w:p>
    <w:p>
      <w:r>
        <w:rPr>
          <w:b/>
        </w:rPr>
        <w:t>E. 3.2</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rPr>
          <w:b/>
        </w:rPr>
        <w:t>E. 3.3</w:t>
      </w:r>
    </w:p>
    <w:p>
      <w:r>
        <w:t>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 Le but du législateur était notamment de simplifier le contentieux administratif de la fonction publique. Dans ce domaine, le fonctionnaire ne peut plus intenter une action pécuniaire pour des prétentions fondées sur les rapports de service, mais doit formuler ses prétentions auprès de l’autorité qui, selon lui, viole ses droits (art. 4A LPA). L’autorité ouvre alors une procédure qui est régie par la LPA et,</w:t>
      </w:r>
    </w:p>
    <w:p>
      <w:r>
        <w:t>- 7/9 - A/1213/2023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(ATA/11/2022 du 11 janvier 2022 consid. 6a ; ATA/1145/2022 du 11 novembre 2022 consid. 3b).</w:t>
      </w:r>
    </w:p>
    <w:p>
      <w:r>
        <w:rPr>
          <w:b/>
        </w:rPr>
        <w:t>E. 4</w:t>
      </w:r>
    </w:p>
    <w:p>
      <w:r>
        <w:t>En l’espèce, les parties s’accordent à dire que la question des prétentions pécuniaires à la suite de la résiliation des rapports de service du recourant avec effet au 30 septembre 2021 n’est pas réglée. Il est aussi constant que le recourant a sollicité à plusieurs reprises le prononcé d’une décision par le département quant à ses prétentions en paiement d’heures supplémentaires, de vacances et de treizième salaire pro rata temporis.</w:t>
      </w:r>
    </w:p>
    <w:p>
      <w:r>
        <w:t>Il a reçu, en février 2023, un décompte indiquant le versement dès le 27 dudit mois d’un montant de CHF 0.- et dont on comprend que l’État lui devait CHF14'254.45 et qu’il était redevable du même montant. Le recourant peut être suivi lorsque, s’agissant du libellé dudit décompte, il ne peut en comprendre les tenants et aboutissants. À la suite de ce décompte, il a, par mise en demeure du 1er mars 2023, fait état de prétentions de CHF 38'361.56, à titre de 108.75 jours de vacances non prises, CHF 1'894.44 correspondant à 31h40 d’heures supplémentaires et CHF 1'770.52 de treizième salaire au prorata pour les mois de juillet à septembre 2021, le tout portant intérêts à 5% dès le 1er octobre 2021. Même à considérer qu’il serait redevable d’un montant de CHF 14'254.45, dont il ignorait comment il avait été calculé, l’État resterait lui devoir le montant de CHF 29'739.26. Le recourant est en droit d’attendre de son ancien employeur qu’il lui indique de manière motivée comment son compte se solderait au 30 septembre 2021 par une compensation de CHF 14'254.45, alors que lui-même considère, à tort ou à raison, pouvoir lui réclamer au minimum le montant de CHF 29'739.26. Aussi, et quand bien même l’autorité intimée considère ne pas être en possession de tous les éléments lui permettant de rendre une décision conforme à la situation prévalant aux périodes pertinentes, et se heurterait à un défaut de collaboration du recourant, cela ne justifie pas pour autant qu’elle ne statue pas sur ses prétentions pécuniaires, quitte à ce que ce soit en sa défaveur comme elle le laisse entendre. Le recourant pourra ensuite faire valoir ses griefs en instance de recours, s’il s’y estime légitimé. Le recourant a un intérêt digne de protection à recevoir une décision, qu’elle lui soit favorable ou pas, et partant à ce qu’un acte attaquable soit rendu. Dès lors que les courriers du recourant n’ont pas reçu la réponse qu’il était en droit d’attendre, qu’en particulier l’autorité intimée n’a pas ouvert de procédure au sens de l’art. 4A LPA, le recours pour déni de justice doit être admis.</w:t>
      </w:r>
    </w:p>
    <w:p>
      <w:r>
        <w:t>- 8/9 - A/1213/2023 Les conclusions prises dans l’acte de recours – seules déterminantes pour délimiter l’objet du litige – tendaient au constat du déni de justice. Ce constat sera donc prononcé. Les conclusions visaient également le renvoi de la cause à l’autorité intimée afin qu’elle rende dans les dix jours une décision sur ses prétentions pécuniaires. Il sera également fait droit à ce chef de conclusions, le délai imparti à l’autorité intimée étant toutefois fixé à 30 jours, afin de laisser à celle-ci le temps de motiver la décision à venir.</w:t>
      </w:r>
    </w:p>
    <w:p>
      <w:r>
        <w:rPr>
          <w:b/>
        </w:rPr>
        <w:t>E. 5</w:t>
      </w:r>
    </w:p>
    <w:p>
      <w:r>
        <w:t>Le recourant obtenant gain de cause, aucun émolument ne sera mis à sa charge et une indemnité de procédure de CHF 1'000.- lui sera allouée, à la charge de l’État, département de la sécurité, de la population et de la santé (art. 87 LPA).</w:t>
      </w:r>
    </w:p>
    <w:p>
      <w:r>
        <w:rPr>
          <w:b/>
        </w:rPr>
        <w:t>E. 6</w:t>
      </w:r>
    </w:p>
    <w:p>
      <w:r>
        <w:t>Compte tenu des conclusions du recours, il n’y a pas de valeur litigieuse en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