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ATA/590/2012 vom 4. September 2012</w:t>
      </w:r>
    </w:p>
    <w:p>
      <w:r>
        <w:t>GE Cour de justice, 2012-09-04, FR</w:t>
      </w:r>
    </w:p>
    <w:p>
      <w:r>
        <w:rPr>
          <w:b/>
        </w:rPr>
        <w:t xml:space="preserve">Quelle: </w:t>
      </w:r>
      <w:r>
        <w:t>https://mcp.opencaselaw.ch/entscheid/ge_gerichte_ATA_590_2012</w:t>
      </w:r>
    </w:p>
    <w:p>
      <w:r>
        <w:t>FR: GE_GERICHTE ATA/590/2012 du 4 septembre 2012</w:t>
      </w:r>
    </w:p>
    <w:p>
      <w:r>
        <w:t>IT: GE_GERICHTE ATA/590/2012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Les demandes d’autorisations de séjour déposées par les recourants l’ayant été après l’entrée en vigueur, le 1er janvier 2008, de la LEtr, la cause doit être examinée au regard de cette nouvelle loi.</w:t>
      </w:r>
    </w:p>
    <w:p>
      <w:r>
        <w:rPr>
          <w:b/>
        </w:rPr>
        <w:t>E. 2</w:t>
      </w:r>
    </w:p>
    <w:p>
      <w:r>
        <w:t>Par décision du 22 février 2011, l’OCP a refusé de délivrer aux intéressés un permis de séjour pour cas de rigueur et prononcé le renvoi du territoire suisse dès le 21 mai 2011.</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Le séjour en Suisse en vue d’y exercer une activité lucrative est soumis à autorisation (art. 11 renvoyant aux art. 18 ss LEtr). Cette dernière doit être requise auprès du canton de prise d’emploi (art. 11 al. 1 LEtr).</w:t>
      </w:r>
    </w:p>
    <w:p>
      <w:r>
        <w:rPr>
          <w:b/>
        </w:rPr>
        <w:t>E. 5</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- 7/12 - A/894/2011</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w:t>
      </w:r>
    </w:p>
    <w:p>
      <w:r>
        <w:rPr>
          <w:b/>
        </w:rPr>
        <w:t>E. 6</w:t>
      </w:r>
    </w:p>
    <w:p>
      <w:r>
        <w:t>En l’espèce, M. I_____, qui serait arrivé en Suisse en 1996, a travaillé durant de nombreuses années en étant dépourvu d’autorisation de séjour et d’une autorisation de travail avant d’en recevoir une, provisoire, en 2009. Quant à Mme R______, elle a travaillé plusieurs années pour l’ambassadeur du G_____ et, et compte tenu des circonstances évoquées ci-dessus, elle a bénéficié d’une autorisation de séjour d’une durée limitée, sa présence étant nécessaire pour l’instruction de la procédure pénale dirigée à l’encontre de l’intéressé. Lorsque la présence de Mme R______ n’a plus été requise sur le territoire suisse pour ce motif, l’OCP a refusé, le 27 février 2001, de délivrer une nouvelle autorisation de</w:t>
      </w:r>
    </w:p>
    <w:p>
      <w:r>
        <w:t>- 8/12 - A/894/2011 séjour à l’intéressée, qui n’a pas déféré au délai de départ qui lui a ultérieurement été fixé au 15 août 2005. C’est dire qu’au moment du dépôt de la demande d’autorisation de séjour et de travail pour cas de rigueur le 11 septembre 2009, Mme R______ et M. I_____ n’auraient plus dû se trouver en Suisse. Il est dès lors difficile dans ces conditions de tenir compte de la durée de leur séjour, en grande partie illégal. Selon une jurisprudence constance, la durée du séjour illégal ne peut être prise en considération dans l’examen d’un cas de rigueur car si tel était le cas, « l’obstination à violer la législation en vigueur serait en quelque sorte récompensée » (Arrêts du Tribunal administratif fédéral C-6051/2008 et C- 6098/2008 du 9 juillet 2010, consid. 6.4).</w:t>
      </w:r>
    </w:p>
    <w:p>
      <w:r>
        <w:rPr>
          <w:b/>
        </w:rPr>
        <w:t>E. 7</w:t>
      </w:r>
    </w:p>
    <w:p>
      <w:r>
        <w:t>Malgré le nombre d’années passées à Genève, les recourants maîtrisent mal le français et ils ont d’ailleurs sollicité pour l’audience de comparution personnelle devant le TAPI l’assistance d’un interprète dans leur langue. Quant à leur activité professionnelle, déployée pour l’un et l’autre dans l’économie domestique, elle atteste de leur intégration sur le plan professionnel, qui est méritoire, mais n’est pas telle qu’elle puisse être qualifiée d’exceptionnelle.</w:t>
      </w:r>
    </w:p>
    <w:p>
      <w:r>
        <w:rPr>
          <w:b/>
        </w:rPr>
        <w:t>E. 8</w:t>
      </w:r>
    </w:p>
    <w:p>
      <w:r>
        <w:t>Les recourants ont vécu aux Philippines jusqu’à l’âge de 45 ans environ avant de venir en Suisse. Les trois enfants majeurs du couple vivent aux Philippines, ainsi qu’une grande partie de leur famille. Ils ont ainsi conservé des attaches très fortes dans leur pays d’origine. S’ils y retournaient, ils pourraient compter sur le soutien de leurs parents, de leurs frères et sœurs et de leurs enfants.</w:t>
      </w:r>
    </w:p>
    <w:p>
      <w:r>
        <w:rPr>
          <w:b/>
        </w:rPr>
        <w:t>E. 9</w:t>
      </w:r>
    </w:p>
    <w:p>
      <w:r>
        <w:t>Mme R______ allègue que le fait de demeurer en Suisse et que son mari et elle-même puissent y exercer une activité professionnelle constitue le seul moyen d’améliorer non seulement leur propre situation, mais également celle de toute leur famille demeurée aux Philippines et par là même d’assumer les frais médicaux que son propre état de santé, ainsi que celui de leur fille S_____, nécessitent.</w:t>
      </w:r>
    </w:p>
    <w:p>
      <w:r>
        <w:t>A ce jour, la procédure pénale à l’encontre de l’ambassadeur du G_____ est terminée depuis longtemps. La qualité de victime de Mme R______ a été reconnue par l’instance LAVI. Plus aucune procédure n’est pendante par-devant le TPH. La présence en Suisse de l’intéressée n’est ainsi pas nécessaire pour des raisons judiciaires.</w:t>
      </w:r>
    </w:p>
    <w:p>
      <w:r>
        <w:t>L’état de santé de la recourante, attesté par les certificats médicaux, fait l’objet de contrôles périodiques. Ces documents font état d’une « HTA », ce qui, selon les dictionnaires médicaux, correspond à une hypertension artérielle et non pas à une hépatite A. La recourante souffre également de rhinopathie. Il n’est pas allégué que le traitement de telles affections, même celui de l’hépatite A cas échéant, ne puisse être prodigué aux Philippines, même s’il n’existe peut-être pas dans ce pays un régime d’assurance-maladie obligatoire comme c’est le cas en Suisse. Il apparaît des écritures des recourants que ceux-ci souhaitent rester en</w:t>
      </w:r>
    </w:p>
    <w:p>
      <w:r>
        <w:t>- 9/12 - A/894/2011 Suisse pour des raisons avant tout socio-économiques, qui ne peuvent être prises en considération, les conditions de vie aux Philippines étant, à l’évidence, différentes de celles que connaissent les intéressés à Genève. Selon une jurisprudence constante, le seul fait de bénéficier en Suisse de meilleures prestations médicales que celles offertes dans le pays d’origine ne suffit pas à justifier une exception aux mesures de limitation (ATF 128 II 200 déjà cité, consid. 5.3 et les références citées).</w:t>
      </w:r>
    </w:p>
    <w:p>
      <w:r>
        <w:t>Enfin, pour qu’un cas de rigueur soit réalisé, il faut que les conditions requises pour celui-ci soient réunies dans la personne de l’intéressé, et non pas dans celle de ses proches, telle la fille des recourants (Arrêt du Tribunal administratif fédéral C-3099/2009 du 30 avril 2010, consid. 5.5 ; ATA/720/2011 précité).</w:t>
      </w:r>
    </w:p>
    <w:p>
      <w:r>
        <w:rPr>
          <w:b/>
        </w:rPr>
        <w:t>E. 10</w:t>
      </w:r>
    </w:p>
    <w:p>
      <w:r>
        <w:t>Les recourants n’ont pas allégué d’autres causes d’impossibilité de leur renvoi, qui contreviendrait à l’art. 83 LEtr. Il en résulte qu’un tel renvoi n’est ni impossible, ni illicite et qu’il peut être raisonnablement exigé, même si les conséquences d’un tel retour seraient difficiles sur le plan financier pour toute la famille des intéressés.</w:t>
      </w:r>
    </w:p>
    <w:p>
      <w:r>
        <w:rPr>
          <w:b/>
        </w:rPr>
        <w:t>E. 11</w:t>
      </w:r>
    </w:p>
    <w:p>
      <w:r>
        <w:t>Au vu de ce qui précède, tant l’OCP que le TAPI ont fait une saine application du droit, en particulier des art. 30 al. 1 LEtr et 31 al. 1 OASA, en prononçant le renvoi, conformément aux art. 64 al. 1 let. c et 83 LEtr.</w:t>
      </w:r>
    </w:p>
    <w:p>
      <w:r>
        <w:rPr>
          <w:b/>
        </w:rPr>
        <w:t>E. 12</w:t>
      </w:r>
    </w:p>
    <w:p>
      <w:r>
        <w:t>En tous points mal fondé, le recours sera rejeté. Un émolument de CHF 400.- sera mis à la charge des recourants, pris conjointement et solidairement. Vu l’issue du litige, aucune indemnité de procédure ne leur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