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ATA/586/2025 vom 27. Mai 2025</w:t>
      </w:r>
    </w:p>
    <w:p>
      <w:r>
        <w:t>GE Cour de justice, 2025-05-27, FR</w:t>
      </w:r>
    </w:p>
    <w:p>
      <w:r>
        <w:rPr>
          <w:b/>
        </w:rPr>
        <w:t xml:space="preserve">Quelle: </w:t>
      </w:r>
      <w:r>
        <w:t>https://mcp.opencaselaw.ch/entscheid/ge_gerichte_ATA_586_2025</w:t>
      </w:r>
    </w:p>
    <w:p>
      <w:r>
        <w:t>FR: GE_GERICHTE ATA/586/2025 du 27 mai 2025</w:t>
      </w:r>
    </w:p>
    <w:p>
      <w:r>
        <w:t>IT: GE_GERICHTE ATA/586/2025 del 27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confirmant la décision de l'OCPM de refuser de délivrer aux recourants une autorisation de séjour et prononçant leur renvoi de Suisse.</w:t>
      </w:r>
    </w:p>
    <w:p>
      <w:r>
        <w:rPr>
          <w:b/>
        </w:rPr>
        <w:t>E. 2.1</w:t>
      </w:r>
    </w:p>
    <w:p>
      <w:r>
        <w:t>Aux termes de l'art. 30 al. 1 let. b LEI, il est possible de déroger aux conditions d'admission (art. 18 à 29 LEI) notamment dans le but de tenir compte des cas individuels d'une extrême gravité ou d'intérêts publics majeurs.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(let. b),</w:t>
      </w:r>
    </w:p>
    <w:p>
      <w:r>
        <w:t>- 8/15 - A/1040/2024 les compétences linguistiques (let. c), la participation à la vie économique ou l'acquisition d'une formation (let. d).</w:t>
      </w:r>
    </w:p>
    <w:p>
      <w:r>
        <w:rPr>
          <w:b/>
        </w:rPr>
        <w:t>E. 2.2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w:t>
      </w:r>
    </w:p>
    <w:p>
      <w:r>
        <w:t>- 9/15 - A/1040/2024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2.4</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w:t>
      </w:r>
    </w:p>
    <w:p>
      <w:r>
        <w:rPr>
          <w:b/>
        </w:rPr>
        <w:t>E. 2.5</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w:t>
      </w:r>
    </w:p>
    <w:p>
      <w:r>
        <w:t>- 10/15 - A/1040/2024 prolonger ou la révocation de l'autorisation de rester en Suisse peut également porter atteinte au droit au respect de la vie privée (ATF 144 I 266).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rPr>
          <w:b/>
        </w:rPr>
        <w:t>E. 2.6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2.7</w:t>
      </w:r>
    </w:p>
    <w:p>
      <w:r>
        <w:t>En l’espèce, le recourant réside à ce jour en Suisse depuis quatorze ans, soit une durée de séjour qui peut être qualifiée de longue au sens des critères jurisprudentiels rappelés ci-devant. Ce séjour s’est cependant déroulé en grande partie dans l’illégalité et se poursuit, depuis le dépôt de la demande de régularisation en octobre 2018, au bénéfice d’une simple tolérance des autorités. Il a par ailleurs été condamné pour tentative d’obtention frauduleuse d'un permis dans le cadre de sa demande d'autorisation de séjour. Il ne peut ainsi se targuer d’une intégration sociale réussie, n’ayant, à plusieurs titres, pas respecté l’ordre public suisse. Il ne soutient pas non plus avoir noué à Genève des liens affectifs ou amicaux d’une intensité telle qu’il ne pourrait les poursuivre par le biais de moyens de télécommunication modernes une fois de retour au Kosovo. Il ne fait pas non plus valoir qu’il s’investirait d’une quelconque manière dans la vie associative, sportive ou culturelle à Genève. Il ne peut ainsi se prévaloir d’une intégration sociale remarquable, quand bien même il est financièrement indépendant, ne fait pas l'objet de poursuites et n’a pas recouru à l’aide sociale. Il n’est pas contesté qu’il œuvre à Genève dans le domaine du bâtiment. Cette activité ne présente toutefois pas un degré de réussite tel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D’autre part, arrivé en Suisse à l’âge de 24 ans, il a passé toute son enfance, son adolescence et le début de sa vie d’adulte dans son pays d’origine. Il connaît donc les us et coutumes de son pays et en parle la langue. Il y est régulièrement retourné, y ayant conservé des liens affectifs forts et y ayant rencontré son épouse. Ainsi, quand bien même après plusieurs années passées à l’étranger, il traversera à son retour dans son pays une nécessaire phase de réadaptation, sa réintégration socio‑professionnelle ne paraît pas gravement</w:t>
      </w:r>
    </w:p>
    <w:p>
      <w:r>
        <w:t>- 11/15 - A/1040/2024 compromise. Il ne remplit donc pas les conditions permettant de retenir l’existence d’un cas de rigueur.</w:t>
      </w:r>
    </w:p>
    <w:p>
      <w:r>
        <w:rPr>
          <w:b/>
        </w:rPr>
        <w:t>E. 2.8</w:t>
      </w:r>
    </w:p>
    <w:p>
      <w:r>
        <w:t>La recourante serait arrivée, selon leurs allégations, en Suisse en 2016, de sorte que son séjour serait de neuf ans aujourd'hui, durée qui peut également être qualifiée de longue. Toutefois, il ne peut non plus être retenu qu'elle aurait fait preuve d’une intégration remarquable. En effet, elle ne s’est pas intégrée professionnellement, n’exerçant aucune activité professionnelle. Elle ne fait pas non plus valoir s’être investie dans la vie associative ou culturelle à Genève. Son intégration socio‑professionnelle est donc faible. Arrivée en Suisse à l'âge de 25 ans, elle a passé toute son enfance, son adolescence et une partie importante de sa vie d’adulte au Kosovo. Elle ne devrait ainsi rencontrer aucun problème à se réintégrer dans son pays d’origine sachant qu’elle y possède vraisemblablement également des membres de sa famille.</w:t>
      </w:r>
    </w:p>
    <w:p>
      <w:r>
        <w:rPr>
          <w:b/>
        </w:rPr>
        <w:t>E. 2.9</w:t>
      </w:r>
    </w:p>
    <w:p>
      <w:r>
        <w:t>Quant à D______ et C______, désormais âgés de 7 et 4 ans et demi, ils sont encore très jeunes et on ne saurait retenir que leur intégration au Kosovo puisse être considérée comme insurmontable. Si D______ est certes scolarisé à Genève, son parcours scolaire n’est toutefois pas avancé au point qu’une rupture de ce dernier constituerait un déracinement pour lui. Aucun des trois enfants n'est encore entré dans l’adolescence, période déterminante pour la formation de la personnalité. Aucun élément au dossier ne permet en tout cas de considérer que leur réintégration, avec leurs parents, au Kosovo serait gravement compromise. Ils y retrouveront par ailleurs certainement d’autres membres de leur famille.</w:t>
      </w:r>
    </w:p>
    <w:p>
      <w:r>
        <w:rPr>
          <w:b/>
        </w:rPr>
        <w:t>E. 2.10</w:t>
      </w:r>
    </w:p>
    <w:p>
      <w:r>
        <w:t>Dans ces circonstances, il n’apparaît nullement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et il ne se justifie en conséquence pas de déroger aux conditions d’admission en Suisse en leur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À l'instar du TAPI, il sied de relever que les recourants ne pouvaient ignorer, au vu de leur statut précaire en Suisse, qu’ils pourraient à tout moment être amenés à devoir y mettre un terme en cas de refus de l’OCPM. Au vu de l’ensemble de ces éléments, l’OCPM n’a pas violé le droit ni abusé de son pouvoir d’appréciation en retenant que les recourants ne remplissaient pas les conditions restrictives permettant l’octroi d’une autorisation de séjour pour cas de rigueur, ce que le TAPI a confirmé à juste titre.</w:t>
      </w:r>
    </w:p>
    <w:p>
      <w:r>
        <w:rPr>
          <w:b/>
        </w:rPr>
        <w:t>E. 2.11</w:t>
      </w:r>
    </w:p>
    <w:p>
      <w:r>
        <w:t>Au surplus, le raisonnement du TAPI relatif à l'application de l’art. 8 CEDH ne souffre aucune critique. Les recourants n'ont en effet pas séjourné légalement en Suisse pendant au moins dix ans, ni ne peuvent se prévaloir d’une forte intégration,</w:t>
      </w:r>
    </w:p>
    <w:p>
      <w:r>
        <w:t>- 12/15 - A/1040/2024 comme exposé ci-dessus. De plus, ils ne peuvent se prévaloir d’un droit au respect de la vie familiale puisque la mesure litigieuse n’a pas pour effet de séparer leur famille, tous les membres de celle-ci étant appelés à quitter la Suisse.</w:t>
      </w:r>
    </w:p>
    <w:p>
      <w:r>
        <w:rPr>
          <w:b/>
        </w:rPr>
        <w:t>E. 3</w:t>
      </w:r>
    </w:p>
    <w:p>
      <w:r>
        <w:t>Reste encore à examiner si le renvoi prononcé par l’OCPM est fondé.</w:t>
      </w:r>
    </w:p>
    <w:p>
      <w:r>
        <w:rPr>
          <w:b/>
        </w:rPr>
        <w:t>E. 3.1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3.2</w:t>
      </w:r>
    </w:p>
    <w:p>
      <w:r>
        <w:t>En l'espèce, dès lors qu'il a, à juste titre, refusé l’octroi d’une autorisation de séjour aux recourants, l'OCPM devait prononcer leur renvoi. Pour le surplus, aucun motif ne permet de retenir que l'exécution du renvoi ne serait pas possible, licite ou ne pourrait raisonnablement être exigée. Il n'existe pas, hormis les difficultés inhérentes à tout retour dans le pays d'origine après quelques années d'absence, de circonstances empêchant l'exécution de leur renvoi au Kosovo. Au vu de ce qui précède, le recours sera rejeté.</w:t>
      </w:r>
    </w:p>
    <w:p>
      <w:r>
        <w:rPr>
          <w:b/>
        </w:rPr>
        <w:t>E. 4</w:t>
      </w:r>
    </w:p>
    <w:p>
      <w:r>
        <w:t>Vu l’issue du litige, un émolument de CHF 400.-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