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ATA/586/2023 vom 6. Juni 2023</w:t>
      </w:r>
    </w:p>
    <w:p>
      <w:r>
        <w:t>GE Cour de justice, 2023-06-06, FR</w:t>
      </w:r>
    </w:p>
    <w:p>
      <w:r>
        <w:rPr>
          <w:b/>
        </w:rPr>
        <w:t xml:space="preserve">Quelle: </w:t>
      </w:r>
      <w:r>
        <w:t>https://mcp.opencaselaw.ch/entscheid/ge_gerichte_ATA_586_2023</w:t>
      </w:r>
    </w:p>
    <w:p>
      <w:r>
        <w:t>FR: GE_GERICHTE ATA/586/2023 du 6 juin 2023</w:t>
      </w:r>
    </w:p>
    <w:p>
      <w:r>
        <w:t>IT: GE_GERICHTE ATA/586/2023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confirmation par le Conseil administratif de l’avertissement prononcé le 1er juillet 2022 par le directeur ad interim du département en lien avec divers comportements du recourant. 3. Le recourant se plaint d’une violation de son droit d’être entendu.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w:t>
      </w:r>
    </w:p>
    <w:p>
      <w:r>
        <w:t>- 10/15 - A/2820/2022 3.2 En l’espèce, dès l’ouverture de la procédure disciplinaire à son encontre le 23 mars 2022, le recourant s’est déterminé par écrit le 25 mars 2022 puis a été convoqué à un entretien par sa cheffe de service, auquel il s’est rendu mais qu’il a quitté avant son terme au motif qu’il ne souhaitait pas entendre les reproches formulés contre lui. Il a également eu l’occasion de se déterminer par écrit les 25 et 26 avril 2022 sur le courrier adressé le 14 avril 2022 par le directeur adjoint du département, indiquant renoncer à faire valoir oralement son droit d’être entendu et refusant de se rendre au second entretien auquel il était convoqué. Ce n’est qu’à partir du 9 mai 2022 que le recourant a demandé l’accès à son dossier, en particulier au courriel du 8 mars 2022 dans lequel un architecte de la ville se plaignait de son comportement auprès de la commandante. L’intimée a donné suite à cette requête le 18 juillet 2022, soit après la lettre d’avertissement du 1er juillet 2022. Cela n’a toutefois pas empêché le recourant, qui n’ignorait pas les faits qui lui étaient reprochés, de recourir contre cette décision auprès du Conseil administratif, puis de compléter son recours une fois son dossier consulté. Il a également eu l’occasion de faire valoir son point de vue en toute connaissance de cause dans le cadre de son recours devant la chambre de céans contre la décision de confirmation de l’avertissement prononcée le 31 août 2022. Dans ces circonstances, il ne peut pas être retenu que le droit d’être entendu du recourant aurait été violé, de sorte que ce grief sera écarté. 4. Le recourant conteste le principe d’une sanction disciplinaire, soit en l’occurrence un avertissement, qu’il estime arbitraire, contraire au principe de la bonne foi et attentatoire à sa santé et sa personnalité. 4.1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4.2 La décision litigieuse se fonde sur les art. 82, 83 let. a, 84 let. f et g et 93 al.1 et 2 du statut du personnel de la ville du 29 juin 2010 (LC 21 151 - ci-après : le</w:t>
      </w:r>
    </w:p>
    <w:p>
      <w:r>
        <w:t>- 11/15 - A/2820/2022 statut) et 107 al. 1 du règlement d'application du statut du 14 octobre 2009 (REGAP - LC 21 152.0). 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se conformer aux règlements et directives les concernant ainsi qu'aux instructions de leurs supérieurs et en exécuter les ordres avec conscience et discernement (art. 84 let. f et g statut). Selon l'art. 93 al. 1 statut, les membres du personnel qui violent leurs devoirs de service intentionnellement ou par négligence peuvent se voir infliger un avertissement ou un blâme ou la suppression de l’augmentation annuelle de traitement pour l’année à venir. L'art. 107 al. 1 REGAP prévoit que le chef ou la cheffe de service, le directeur ou la directrice du département, de même que le secrétaire général ou la secrétaire générale de la Ville de Genève sont compétents pour prononcer un avertissement concernant le personnel placé sous leur autorité. 4.3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 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(ATA/508/2022 du 17 mai 2022 consid. 7 ; ATA/137/2020 du 11 février 2020).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(ATA/912/2022 du 13 septembre 2022</w:t>
      </w:r>
    </w:p>
    <w:p>
      <w:r>
        <w:t>- 12/15 - A/2820/2022 consid. 6e ;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(ATA/571/2022 du 31 mai 2022 consid. 7b ; Gabriel BOINAY, op. cit., n. 51 p. 14). 4.4 En l’espèce, il est reproché au recourant d’avoir adopté un comportement inadéquat à l’égard de ses collègues et de personnes externes à l’administration, notamment en tenant des propos désobligeants dans le cadre de livraisons de matériel et de travaux de réfection du poste C______, ce qui a été rapporté à la commandante par le biais de diverses plaintes. Le recourant s’en est en particulier pris verbalement, au moins une fois, à l’architecte en charge desdits travaux, lequel a relevé que leur collaboration avait été difficile. Le recourant, qui ne conteste pas avoir tenu de tels propos, tente de se justifier en alléguant que l’incident n’avait pas eu lieu en présence de public, que les dénonciations de l’architecte seraient « diffamatoires » ou « calomnieuses » ou encore qu’il aurait salué ce dernier lorsqu’il lui avait dit bonjour. Cette argumentation ne change toutefois rien au fait que les propos ont été tenus, ce que le recourant admet. Il a ainsi contrevenu à son devoir d’entretenir avec ses collègues des relations dignes et respectueuses. 4.5 Il est par ailleurs reproché au recourant d’avoir, à plusieurs reprises et faisant fi des mises en garde qui lui ont été adressées à ce sujet, contrevenu à son obligation de respecter la voie hiérarchique en interpellant directement des cadres, le plus souvent la commandante, au sujet de problématiques d’importance faible et ne présentant pas un caractère urgent. Le recourant ne conteste pas avoir recouru de manière inappropriée à la voie hiérarchique, indiquant toutefois avoir agi ainsi en l’absence de son supérieur hiérarchique direct. Il ne démontre cependant pas que tel aurait été systématiquement le cas. Il ressort au contraire du dossier, notamment des comptes rendus de ses évaluations et des échanges de courriels produits, que le recourant a tendance à recourir à cette pratique lorsque ses requêtes n’obtiennent pas de réponse rapide ou qui le satisfasse. Il est par conséquent établi qu’il a violé à plusieurs reprises son devoir de se conformer aux règlements et directives, ainsi qu’aux instructions de ses supérieurs hiérarchiques.</w:t>
      </w:r>
    </w:p>
    <w:p>
      <w:r>
        <w:t>- 13/15 - A/2820/2022 4.6 Il est enfin reproché au recourant d’avoir adopté, lors de l’entretien du 6 avril 2022 en présence de la commandante, un comportement inadmissible en mettant prématurément un terme à la rencontre, refusant d’entendre certaines des critiques formulées à son encontre, les qualifiant de « calomnie » et « diffamation ». Le recourant ne conteste pas ces faits. Or, en agissant de la sorte, même à admettre que certaines tensions peuvent avoir lieu durant un entretien de service, le recourant a, une fois encore, contrevenu à son obligation d’entretenir avec ses supérieurs hiérarchiques des relations dignes et respectueuses. 4.7 Il n’apparaît en conséquence pas, dans la mesure où le recourant a violé ses devoirs de service à plusieurs reprises, que la décision attaquée serait infondée, contraire au principe de la bonne foi ou entachée d’arbitraire. Au surplus, il n’apparaît pas que les griefs du recourant en lien avec d’éventuelles atteintes à sa santé ou sa personnalité, notamment concernant son courriel du 29 octobre 2018 et la suite qui y a été donnée, auraient été préalablement soumis au groupe de confiance. Exorbitants à l’objet du présent litige, ils ne seront pas examinés. Compte tenu de ce qui précède, l’intimée n’a pas violé le droit ni excédé son pouvoir d’appréciation en prononçant un avertissement, étant relevé qu’il s’agit de la sanction la plus clémente prévue par l’art. 93 al. 1 du statut et qu’elle respecte ainsi le principe de la proportionnalité. Entièrement mal fondé, le recours sera rejeté.</w:t>
      </w:r>
    </w:p>
    <w:p>
      <w:r>
        <w:rPr>
          <w:b/>
        </w:rPr>
        <w:t>E. 5</w:t>
      </w:r>
    </w:p>
    <w:p>
      <w:r>
        <w:t>Vu l’issue du litige, un émolument de CHF 1’000.-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