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ATA/586/2015 vom 9. Juni 2015</w:t>
      </w:r>
    </w:p>
    <w:p>
      <w:r>
        <w:t>GE Cour de justice, 2015-06-09, FR</w:t>
      </w:r>
    </w:p>
    <w:p>
      <w:r>
        <w:rPr>
          <w:b/>
        </w:rPr>
        <w:t xml:space="preserve">Quelle: </w:t>
      </w:r>
      <w:r>
        <w:t>https://mcp.opencaselaw.ch/entscheid/ge_gerichte_ATA_586_2015</w:t>
      </w:r>
    </w:p>
    <w:p>
      <w:r>
        <w:t>FR: GE_GERICHTE ATA/586/2015 du 9 juin 2015</w:t>
      </w:r>
    </w:p>
    <w:p>
      <w:r>
        <w:t>IT: GE_GERICHTE ATA/586/2015 del 9 giugno 2015</w:t>
      </w:r>
    </w:p>
    <w:p>
      <w:pPr>
        <w:pStyle w:val="Heading2"/>
      </w:pPr>
      <w:r>
        <w:t>Erwägungen</w:t>
      </w:r>
    </w:p>
    <w:p>
      <w:r>
        <w:rPr>
          <w:b/>
        </w:rPr>
        <w:t>E. 20</w:t>
      </w:r>
    </w:p>
    <w:p>
      <w:r>
        <w:t>mai 2014 consid. 5e ; ATA/291/2014 du 29 avril 2014 consid. 6). Au vu de ces éléments et conformément à la jurisprudence susmentionnée du Tribunal fédéral, le comportement de la recourante consistant à attendre la décision d’exclusion pour invoquer l’argument précité, n’est pas conforme au principe de la bonne foi, ni d’ailleurs à l’exigence de célérité prévalant dans le domaine de la passation des marchés publics. Par conséquent, le grief de la recourante relatif à l’exigence de l’attestation portant sur le respect des conditions de travail dans le canton de Genève, ne peut, dans le cadre du présent recours contre la décision d’exclusion, qu’être déclaré irrecevable. 9)</w:t>
      </w:r>
    </w:p>
    <w:p>
      <w:r>
        <w:t>Concernant l'attestation fiscale, aux termes de l'art. 32 al. 1 let. c RMP, ne sont prises en considération que les offres accompagnées, pour le soumissionnaire et ses sous-traitants, d'une attestation de l'autorité fiscale compétente justifiant que le soumissionnaire s'est acquitté de ses obligations en matière d'impôt à la source retenu sur les salaires de son personnel ou qu'il n'a pas de personnel soumis à cet impôt. 10) L'attestation fiscale concerne le ou les cantons dans le(s)quel(s) l'entreprise a son siège et déploie des activités. À cet égard, la recourante n'a fourni aucune attestation, qu'elle émane de l'administration genevoise, vaudoise, neuchâteloise ou d'un autre canton. Or les documents d'appel d'offres ne parlaient pas spécifiquement d'une attestation genevoise, et étaient on ne peut plus clairs sur le fait que les attestations devaient se trouver dans l'offre au moment de son dépôt, sous peine d'élimination. Une simple proposition de les fournir sur demande n'était donc pas admissible. 11) Il convient enfin d’examiner le bien-fondé de la décision d’exclusion litigieuse, notamment au regard du principe de l’interdiction du formalisme excessif découlant de la garantie à un traitement équitable des administrés énoncée à l’art. 29 Cst.</w:t>
      </w:r>
    </w:p>
    <w:p>
      <w:r>
        <w:t>a. Comme rappelé plus haut, l’art. 32 al. 1 let. b RMP pose, comme condition pour être admis à soumissionner, l’exigence d’une attestation certifiant soit que le soumissionnaire est lié par la CCT de sa branche, applicable à Genève (ch. 1), soit qu’il a signé, auprès de l’OCIRT, un engagement à respecter les usages de sa profession en vigueur à Genève, notamment en ce qui concerne la couverture du personnel en matière de retraite, de perte de gain en cas de maladie,</w:t>
      </w:r>
    </w:p>
    <w:p>
      <w:r>
        <w:t>- 9/12 - A/3098/2014 d’assurance-accident et d’allocations familiales (ch. 2). L’art. 32 al. 2 précise les conditions pour obtenir l’attestation de l’OCIRT visée à l’art. 32 al. 1 let. b ch. 2 RMP. Lorsque le soumissionnaire a rendu une offre tardive, incomplète ou non- conforme aux exigences ou au cahier des charges, l’offre est écartée d’office (art. 42 al. 1 let. a RMP). Les offres écartées ne sont pas évaluées. L’autorité adjudicatrice rend une décision d’exclusion motivée, notifiée par courrier à l’intéressé, avec mention des voies de recours (art. 42 al. 3 RMP).</w:t>
      </w:r>
    </w:p>
    <w:p>
      <w:r>
        <w:t>b. Le droit des marchés publics a pour but d’assurer une concurrence efficace entre les soumissionnaires ainsi que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 Par ailleurs, le principe d’intangibilité des offres impose d’apprécier celles-ci sur la seule base du dossier remis (arrêts du Tribunal fédéral 2C_197/2010 et 2C_198/2010 du 30 avril 2010 consid. 6.3).</w:t>
      </w:r>
    </w:p>
    <w:p>
      <w:r>
        <w:t>Comme la chambre de céans l’a rappelé à plusieurs reprises, le droit des marchés publics est formaliste et c’est dans le respect de ce formalisme que l’autorité adjudicatrice doit procéder à l’examen de la recevabilité des offres et à leur évaluation (ATA/361/2014 précité ; ATA/291/2014 précité ; ATA/129/2014 du 4 mars 2014 ; ATA/271/2012 du 8 mai 2012 ; ATA/535/2011 du 30 août 2011 ; ATA/10/2009 du 13 janvier 2009 ; ATA/95/2008 du 4 mars 2008 ; ATA/79/2008 du 19 février 2008 ; ATA/250/2006 du 9 mai 2006).</w:t>
      </w:r>
    </w:p>
    <w:p>
      <w:r>
        <w:t>c. Le principe de l’interdiction du formalisme excessif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w:t>
      </w:r>
    </w:p>
    <w:p>
      <w:r>
        <w:t>À cet égard, même les auteurs qui préconisent une certaine souplesse dans le traitement des informalités admettent que l’autorité adjudicatrice dispose d’un</w:t>
      </w:r>
    </w:p>
    <w:p>
      <w:r>
        <w:t>- 10/12 - A/3098/2014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w:t>
      </w:r>
    </w:p>
    <w:p>
      <w:r>
        <w:t>Les principes précités valent également pour la phase d’examen de la recevabilité des soumissions (Olivier RODONDI, La gestion, op. cit.,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l’arrêt du Tribunal fédéral 2C_197/2010 précité).</w:t>
      </w:r>
    </w:p>
    <w:p>
      <w:r>
        <w:t>La chambre de céans s’est toujours montrée stricte dans ce domaine, (ATA/129/2014 du 4 mars 2014 consid. 4 ; ATA/102/2010 précité ; ATA/150/2006 du 14 mars 2006), ce que le Tribunal fédéral a constaté mais confirmé (arrêt du Tribunal fédéral 2C_197/2010 précité).</w:t>
      </w:r>
    </w:p>
    <w:p>
      <w:r>
        <w:t>d. En l’espèce, la recourante n’a remis à l’autorité adjudicatrice avec son offre, déposée dans le délai imparti, aucun document attestant le fait qu’elle respectait les conditions de travail, ni aucune attestation fiscale, contestant la première obligation se contentant de dire qu'elle tenait à disposition des attestations fiscales. L’intéressée conteste le fait de devoir s’annoncer à l’OCIRT, alors qu’elle n’a ni employé ni activité sur le canton de Genève. Elle ne produit cependant aucun autre document certifiant qu’elle respecte les conditions de travail, ni aucune attestation fiscale, telle qu’une attestation émanant de l’autorité compétente neuchâteloise, vaudoise ou zurichoise. Or, la production de tels documents vise à vérifier le respect de conditions d’aptitude essentielles prévues par l’art. 32 al. 1 let. b et c RMP et expressément rappelées au point 9.2 et 9.3 de l’appel d’offres. 12) Compte tenu de ce qui précède, le recours sera rejeté. Un émolument de CHF 2’000.- sera mis à la charge de la recourante, qui succombe (art. 87 al. 1 LPA). Vu l'issue du litige, aucune indemnité de procédure ne lui sera allouée (art. 87 al. 2 LPA).</w:t>
      </w:r>
    </w:p>
    <w:p>
      <w:r>
        <w:t>* * * * *</w:t>
      </w:r>
    </w:p>
    <w:p>
      <w:r>
        <w:t>- 11/12 - A/3098/2014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