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ATA/585/2013 vom 3. September 2013</w:t>
      </w:r>
    </w:p>
    <w:p>
      <w:r>
        <w:t>GE Cour de justice, 2013-09-03, FR</w:t>
      </w:r>
    </w:p>
    <w:p>
      <w:r>
        <w:rPr>
          <w:b/>
        </w:rPr>
        <w:t xml:space="preserve">Quelle: </w:t>
      </w:r>
      <w:r>
        <w:t>https://mcp.opencaselaw.ch/entscheid/ge_gerichte_ATA_585_2013</w:t>
      </w:r>
    </w:p>
    <w:p>
      <w:r>
        <w:t>FR: GE_GERICHTE ATA/585/2013 du 3 septembre 2013</w:t>
      </w:r>
    </w:p>
    <w:p>
      <w:r>
        <w:t>IT: GE_GERICHTE ATA/585/2013 del 3 settembre 2013</w:t>
      </w:r>
    </w:p>
    <w:p>
      <w:pPr>
        <w:pStyle w:val="Heading2"/>
      </w:pPr>
      <w:r>
        <w:t>Erwägungen</w:t>
      </w:r>
    </w:p>
    <w:p>
      <w:r>
        <w:rPr>
          <w:b/>
        </w:rPr>
        <w:t>E. 1</w:t>
      </w:r>
    </w:p>
    <w:p>
      <w:r>
        <w:t>Interjeté le 26 août 2013 contre le jugement du TAPI prononcé et communiqué en mains propres à l’intéressé le 26 juillet 2013,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 effet, dans sa teneur actuelle, la LPA ne prévoit pas d'exception à la suspension des délais prévue à l'art. 17A LPA en matière de mesures de contrainte (ATA/233/2012 du 18 avril 2012 consid. 1), et le PL 11017, qui entend introduire une telle exception, est encore pendant par-devant le Grand Conseil. Le délai de recours de dix jours a donc commencé à courir le 16 août 2013, et expirait le lundi 26 août 2013, le 25 août 2013 étant un dimanche.</w:t>
      </w:r>
    </w:p>
    <w:p>
      <w:r>
        <w:rPr>
          <w:b/>
        </w:rPr>
        <w:t>E. 2</w:t>
      </w:r>
    </w:p>
    <w:p>
      <w:r>
        <w:t>Selon l’art. 10 al. 2 LaLEtr, la chambre administrative doit statuer dans les dix jours qui suivent sa saisine. Le recours ayant été réceptionné le 27 août 2013, le délai de dix jours vient à échéance au plus tôt le 6 septembre 2013.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- 7/11 - A/2403/2013</w:t>
      </w:r>
    </w:p>
    <w:p>
      <w:r>
        <w:rPr>
          <w:b/>
        </w:rPr>
        <w:t>E. 4</w:t>
      </w:r>
    </w:p>
    <w:p>
      <w:r>
        <w:t>L’étranger qui fait l’objet d’une décision de refus d’asile ou de non-entrée en matière est renvoyé de Suisse (art. 44 de la loi fédérale sur l'asile, du 26 juin 1998 - LAsi - RS 142.31). L’autorité cantonale désignée par l’ODM, soit en l’espèce le canton de Genève, est tenue d’exécuter la décision de renvoi (art. 46 al. 1 LAsi et 69 al. 1 let. c LEtr).</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Arrêts du Tribunal fédéral 2C_624/2012 du 2 juillet 2012 consid. 4.1 et 2C_963/2010 du 11 janvier 2011 consid. 2.1).</w:t>
      </w:r>
    </w:p>
    <w:p>
      <w:r>
        <w:t>L’art. 76 al. 1 let. b ch. 3 et 4 LEtr décrit des comportements permettant de conclure à l’existence d’un risque de fuite ou de disparition. Ces deux éléments doivent donc être envisagés ensemble (Arrêts du Tribunal fédéral 2C_743/2009 du 7 décembre 2009 consid. 4 ;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ch. 1 et 75 al. 1 let. g et h LEtr).</w:t>
      </w:r>
    </w:p>
    <w:p>
      <w:r>
        <w:rPr>
          <w:b/>
        </w:rPr>
        <w:t>E. 6</w:t>
      </w:r>
    </w:p>
    <w:p>
      <w:r>
        <w:t>En l’espèce, tant les déclarations du recourant - qui depuis plusieurs années sont des plus fluctuantes, celles faites lors de l'audience devant le TAPI du 26 juillet 2013 faisant état d'un accord de retourner en Guinée, mais pas immédiatement et pas au moyen d'un vol spécial - que son comportement - il s'est plusieurs fois opposé physiquement à son embarquement, et vécu dans la clandestinité - suffisent à démontrer le risque de fuite et le refus d'obtempérer aux injonctions des autorités.</w:t>
      </w:r>
    </w:p>
    <w:p>
      <w:r>
        <w:t>- 8/11 - A/2403/2013</w:t>
      </w:r>
    </w:p>
    <w:p>
      <w:r>
        <w:t>C'est ainsi à juste titre que le TAPI a admis que les conditions de la mise en détention administrative étaient réalisées, au sens des dispositions rappelées ci-dessus, sans qu'il soit nécessaire d'examiner si les conditions de l'art. 76 al. 1 let. b ch. 1 LEtr sont remplies.</w:t>
      </w:r>
    </w:p>
    <w:p>
      <w:r>
        <w:rPr>
          <w:b/>
        </w:rPr>
        <w:t>E. 7</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23 juillet 2013. Suite à son refus de monter à bord du vol prévu le même jour, les autorités de police des étrangers ont dû inscrire le recourant sur le prochain vol spécial à destination de son pays d'origine, qui n'aura lieu qu'en octobre ou novembre 2013, mais dont l'organisation effective n'est en l'état pas en cause. Dans ces circonstances, les autorités suisses n'ont pas failli à leur devoir de célérité, l'organisation d'un vol spécial demandant davantage de préparatifs que celle d'un vol ordinaire avec ou sans escorte policière, étant rappelé que cette période d'attente découle directement du comportement passé de l’intéressé, à savoir son refus de monter à bord du vol du 23 juillet 2013.</w:t>
      </w:r>
    </w:p>
    <w:p>
      <w:r>
        <w:t>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t>Les principes de célérité et de proportionnalité ont ainsi été respectés.</w:t>
      </w:r>
    </w:p>
    <w:p>
      <w:r>
        <w:rPr>
          <w:b/>
        </w:rPr>
        <w:t>E. 8</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w:t>
      </w:r>
    </w:p>
    <w:p>
      <w:r>
        <w:t>- 9/11 - A/2403/2013</w:t>
      </w:r>
    </w:p>
    <w:p>
      <w:r>
        <w:t>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w:t>
      </w:r>
    </w:p>
    <w:p>
      <w:r>
        <w:t>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w:t>
      </w:r>
    </w:p>
    <w:p>
      <w:r>
        <w:rPr>
          <w:b/>
        </w:rPr>
        <w:t>E. 9</w:t>
      </w:r>
    </w:p>
    <w:p>
      <w:r>
        <w:t>En l’espèce, le recourant allègue son état de santé comme motif d'impossibilité du renvoi, invoquant une dépression. Il a produit un certificat médical émanant d'une spécialiste en médecine interne, et qui ne précise aucunement la ou les affections dont il souffrirait encore aujourd'hui. Lesdits certificats ne précisent donc pas que la condition médicale de l'intéressé serait incompatible avec sa détention administrative et avec un renvoi en Guinée par la voie aérienne.</w:t>
      </w:r>
    </w:p>
    <w:p>
      <w:r>
        <w:t>Il apparaît en outre que les troubles psychiques (dépression) décrits ne revêtent pas une gravité suffisante pour faire échec au renvoi du recourant, conformément à la jurisprudence du TAF rappelée ci-dessus. Il est de plus singulier que le recourant se plaigne de ce que les infrastructures psychiatriques sont insuffisantes ou trop coûteuses dans son pays d'origine, alors que précisément</w:t>
      </w:r>
    </w:p>
    <w:p>
      <w:r>
        <w:t>- 10/11 - A/2403/2013 il n'en fait pas usage à Genève, et produit un certificat émanant d'une spécialiste en médecine somatique.</w:t>
      </w:r>
    </w:p>
    <w:p>
      <w:r>
        <w:rPr>
          <w:b/>
        </w:rPr>
        <w:t>E. 10</w:t>
      </w:r>
    </w:p>
    <w:p>
      <w:r>
        <w:t>Quant aux allégués du recourant concernant sa vie familiale à Genève, où il aurait un enfant, force est de constater qu'ils sont des plus confus. L'enfant dont il allègue être le père a une mère du même patronyme, mais non du même prénom que la personne qu'il décrit ; et l'enfant en question a un lien de filiation avec une personne dotée d'un autre patronyme que le sien. Enfin, et quoi qu'il en soit, le recourant ne démontre nullement mener une relation effective et régulière avec cet enfant, condition sine qua non pour pouvoir invoquer le droit au respect de la vie familiale (ATF 137 I 284 consid. 1.3 ; Arrêt du Tribunal fédéral 2C_1119/2012 du 4 juillet 2013 consid. 6.1).</w:t>
      </w:r>
    </w:p>
    <w:p>
      <w:r>
        <w:rPr>
          <w:b/>
        </w:rPr>
        <w:t>E. 11</w:t>
      </w:r>
    </w:p>
    <w:p>
      <w:r>
        <w:t>Le recours sera ainsi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