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ATA/584/2015 vom 9. Juni 2015</w:t>
      </w:r>
    </w:p>
    <w:p>
      <w:r>
        <w:t>GE Cour de justice, 2015-06-09, FR</w:t>
      </w:r>
    </w:p>
    <w:p>
      <w:r>
        <w:rPr>
          <w:b/>
        </w:rPr>
        <w:t xml:space="preserve">Quelle: </w:t>
      </w:r>
      <w:r>
        <w:t>https://mcp.opencaselaw.ch/entscheid/ge_gerichte_ATA_584_2015</w:t>
      </w:r>
    </w:p>
    <w:p>
      <w:r>
        <w:t>FR: GE_GERICHTE ATA/584/2015 du 9 juin 2015</w:t>
      </w:r>
    </w:p>
    <w:p>
      <w:r>
        <w:t>IT: GE_GERICHTE ATA/584/2015 del 9 giugno 2015</w:t>
      </w:r>
    </w:p>
    <w:p>
      <w:pPr>
        <w:pStyle w:val="Heading2"/>
      </w:pPr>
      <w:r>
        <w:t>Erwägungen</w:t>
      </w:r>
    </w:p>
    <w:p>
      <w:r>
        <w:rPr>
          <w:b/>
        </w:rPr>
        <w:t>E. 12</w:t>
      </w:r>
    </w:p>
    <w:p>
      <w:r>
        <w:t>septembre 1985 - LPA - E 5 10). 2)</w:t>
      </w:r>
    </w:p>
    <w:p>
      <w:r>
        <w:t>Le litige porte sur la qualification des travaux effectués dans l’appartement, ainsi que sur l’obligation de demander, en application des dispositions de la LDTR, une autorisation au département pour les réaliser. 3)</w:t>
      </w:r>
    </w:p>
    <w:p>
      <w:r>
        <w:t>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Le Tribunal fédéral a déjà eu l’occasion de considérer que la réglementation de la LDTR correspond à un intérêt public évident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4)</w:t>
      </w:r>
    </w:p>
    <w:p>
      <w:r>
        <w:t>En vertu de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- 7/11 - A/1256/2014 5)</w:t>
      </w:r>
    </w:p>
    <w:p>
      <w:r>
        <w:t>De jurisprudence constante, il est admis, s’agissant de la distinction entre travaux d’entretien et de rénovation (ou transformation) consacrés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du 25 septembre 2012 ; ATA/135/2011 du 1er mars 2011 et la jurisprudence citée ; Alain MAUNOIR, La nouvelle LDTR au regard de la jurisprudence in RDAF 1996 p. 314 et la jurisprudence citée). On parle alors aussi de travaux d'entretien différés dans le temps (Emmanuelle GAIDE et Valérie DEFAGO GAUDIN, La LDTR : démolition, transformation, changement d'affectation et aliénation. Immeubles de logement et appartements, 2014, p. 193).</w:t>
      </w:r>
    </w:p>
    <w:p>
      <w:r>
        <w:t>-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(ATA/645/2012 précité ; ATA/646/2010 du 21 septembre 2010 et les références citées). 6)</w:t>
      </w:r>
    </w:p>
    <w:p>
      <w:r>
        <w:t>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(ArRLoyers - L 20.05),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il y a pénurie dans toutes les catégories d'appartements de une à sept pièces inclusivement.</w:t>
      </w:r>
    </w:p>
    <w:p>
      <w:r>
        <w:t>7) a. Selon la jurisprudence bien établie de la chambre de céans, ont été considérés comme relevant de l’entretien au regard de leur nature, l’installation de</w:t>
      </w:r>
    </w:p>
    <w:p>
      <w:r>
        <w:t>- 8/11 - A/1256/2014 nouveaux sanitaires, l’agencement des cuisines, la mise en conformité de l’installation électrique, la pose de nouveaux revêtements des sols et des parois, ainsi que des travaux de peinture et de serrurerie (ATA/40/2010 du 26 janvier 2010 et les références citées).</w:t>
      </w:r>
    </w:p>
    <w:p>
      <w:r>
        <w:t>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(ATA/645/2012 précité).</w:t>
      </w:r>
    </w:p>
    <w:p>
      <w:r>
        <w:t>b. Il convient toutefois de tenir compte également des circonstances dans lesquelles les travaux sont accomplis, et notamment de leur accumulation en raison d’un défaut d’entretien courant des bâtiments concernés (ATA/646/2010 précité et les références citées).</w:t>
      </w:r>
    </w:p>
    <w:p>
      <w:r>
        <w:t>Ainsi, le propriétaire d'un appartement a tout intérêt à entretenir régulièrement son immeuble et pour le prouver en cas de litige, à conserver les factures desdits travaux (Emmanuelle GAIDE et Valérie DEFAGO GAUDIN, op. cit., p. 195 - 196). Des travaux isolés, effectués depuis longtemps, ne démontrent pas la régularité de l'entretien. Par exemple, la seule réfection des peintures effectuée plus de vingt ans avant les travaux litigieux ne suffit pas pour considérer que l'appartement est régulièrement entretenu (ATA/370/2005 du 24 mai 2005 consid. 3b.)</w:t>
      </w:r>
    </w:p>
    <w:p>
      <w:r>
        <w:t>c.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76'000.- et de CHF 47'897.- pour deux logements de cinq pièces (CHF 15'200.- et CHF 9'579.40 par pièce l'an ; ATA/328/2013 précité) ; CHF 28’519.- pour un deux pièces et demie (CHF 11’408.- par pièce l’an ; ATA/645/2012 précité), de CHF 28’342.- pour un trois pièces (CHF 9’447.- par pièce l’an ; ATA/646/2010 précité), de CHF 38’213.- pour un trois pièces et demie (CHF 10’918.- par pièce l’an ; ATA/278/2006 du 16 mai 2006) ; CHF 44'000.- pour un quatre pièces (ATA/659/2004 du 24 août 2004) ; CHF 49'874.- pour un quatre pièces (ATA/618/2004 du 5 août 2004).</w:t>
      </w:r>
    </w:p>
    <w:p>
      <w:r>
        <w:t>d. Par contre, ne sont pas assujettis à la loi les travaux d'entretien courant qui devraient être pris en charge par le compte d'exploitation de l'immeuble et qui ne devraient donc pas provoquer d'augmentation de loyer ou n'entraîner qu'une modeste hausse de loyer (Emmanuelle GAIDE et Valérie DEFAGO GAUDIN, op. cit., p. 207).</w:t>
      </w:r>
    </w:p>
    <w:p>
      <w:r>
        <w:t>- 9/11 - A/1256/2014 8)</w:t>
      </w:r>
    </w:p>
    <w:p>
      <w:r>
        <w:t>Selon l’art. 44 LDTR, celui qui contrevient aux dispositions de la LDTR est passible des mesures et sanctions administratives prévues par les art. 129 à 139 de la loi sur les constructions et les installations diverses du 14 avril 1988 (LCI - L 5 05),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t>Parmi les mesures administratives à disposition de l’autorité compétente, figure l’ordre de remise en conformité (art. 129 let. e LCI). L’objectif d’une telle mesure est de rétablir une situation conforme au droit. Dans le domaine de la LDTR, si le département constate que des travaux ont été effectués sans autorisation, la première des mesures adéquate à sa disposition dans cette situation est d’ordonner le dépôt d’une requête à celui qui ne s’est pas soumis à une telle obligation. 9) a. En l'espèce, les travaux entrepris au mois d’août et septembre 2011 se sont élevés à CHF 44'046.45. Il s'est agi d'une remise à neuf de tout l'appartement à teneur du dossier du DALE et des pièces produites par la recourante.</w:t>
      </w:r>
    </w:p>
    <w:p>
      <w:r>
        <w:t>Selon ces mêmes documents, CHF 12'836.60 avaient été dépensés par la caisse entre 1992 et 2010 pour des travaux dans l’appartement, dont CHF 3'189.- étaient liés à des problèmes de plomberie, robinetterie ou fuites d’eau.</w:t>
      </w:r>
    </w:p>
    <w:p>
      <w:r>
        <w:t>Contrairement à ce que soutient la recourante, les travaux effectués entre 1992 et 2010 ne sont pas suffisants pour admettre que l’appartement a été régulièrement entretenu. Cela explique l’importance des sommes qui ont dû être investies durant l’été 2011. Il s'agit donc bien de travaux d'entretien différés dans le temps, assujettis à la LDTR et soumis à autorisation.</w:t>
      </w:r>
    </w:p>
    <w:p>
      <w:r>
        <w:t>b. Ce constat s'impose également en raison du coût des travaux et de leur impact sur le loyer, qui a augmenté de plus de 50 %, passant de CHF 18’000.- à CHF 26'400.- puis CHF 28'200.- et enfin CHF 30'000.-, soit en moyenne CHF 28’200 .-.</w:t>
      </w:r>
    </w:p>
    <w:p>
      <w:r>
        <w:t>Le fait que le loyer avant travaux ne correspondait déjà pas aux besoins prépondérants de la population ne permet pas de soustraire ces travaux à la LDTR. En effet, dans l'ATA/328/2013 précité, confirmé par le Tribunal fédéral, des travaux importants effectués dans un appartement dont le loyer dépassait déjà, avant ceux-ci, le montant maximal du loyer correspondant aux besoins prépondérants de la population ont été assujettis à la LDTR. Il en est de même dans l'ATA/334/2014 du 13 mai 2014 et dans l’ATA/440/2015 du 12 mai 2015. Par ailleurs, dans la mesure où ce logement entre dans la catégorie des</w:t>
      </w:r>
    </w:p>
    <w:p>
      <w:r>
        <w:t>- 10/11 - A/1256/2014 appartements pour lesquels règne la pénurie au sens de l’art. 25 LDTR, il correspond en tout état de cause aux besoins prépondérants de la population. 10) En tous points mal fondé, le recours sera rejeté. 11) Vu l’issue du litige, un émolument de CHF 1’500.-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