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ATA/584/2014 vom 29. Juli 2014</w:t>
      </w:r>
    </w:p>
    <w:p>
      <w:r>
        <w:t>GE Cour de justice, 2014-07-29, FR</w:t>
      </w:r>
    </w:p>
    <w:p>
      <w:r>
        <w:rPr>
          <w:b/>
        </w:rPr>
        <w:t xml:space="preserve">Quelle: </w:t>
      </w:r>
      <w:r>
        <w:t>https://mcp.opencaselaw.ch/entscheid/ge_gerichte_ATA_584_2014</w:t>
      </w:r>
    </w:p>
    <w:p>
      <w:r>
        <w:t>FR: GE_GERICHTE ATA/584/2014 du 29 juillet 2014</w:t>
      </w:r>
    </w:p>
    <w:p>
      <w:r>
        <w:t>IT: GE_GERICHTE ATA/584/2014 del 29 luglio 2014</w:t>
      </w:r>
    </w:p>
    <w:p>
      <w:pPr>
        <w:pStyle w:val="Heading2"/>
      </w:pPr>
      <w:r>
        <w:t>Regeste</w:t>
      </w:r>
    </w:p>
    <w:p>
      <w:r>
        <w:t>Résumé: L'exploitante se trouvant sur les lieux lors de la vente d'une boisson légèrement alcoolisée à deux mineures et n'ayant soit pas dûment instruit son employé, soit pas contrôlé d'assez près son activité, a commis à tous le moins une négligence. Le Scom n'ayant pas procédé à l'établissement de tous les éléments nécessaires et pertinents pour forger sa détermination, la chambre administrative confirme l'amende dans son principe et, au regard du principe de proportionnalité, en réduit le montant à CHF 600.-.</w:t>
      </w:r>
    </w:p>
    <w:p>
      <w:pPr>
        <w:pStyle w:val="Heading2"/>
      </w:pPr>
      <w:r>
        <w:t>Erwägungen</w:t>
      </w:r>
    </w:p>
    <w:p>
      <w:r>
        <w:rPr>
          <w:b/>
        </w:rPr>
        <w:t>E. 12</w:t>
      </w:r>
    </w:p>
    <w:p>
      <w:r>
        <w:t>septembre 1985 - LPA - E 5 10). 2)</w:t>
      </w:r>
    </w:p>
    <w:p>
      <w:r>
        <w:t>L’exploitation à titre onéreux d’établissements voués à la restauration et au débit de boissons à consommer sur place est soumise à la LRDBH. Font notamment partie des établissements visés les buvettes permanentes, soit les débits de boissons exploités de façon durable ou saisonnière, accessoires à des installations destinées aux loisirs, au divertissement, aux activités culturelles, au sport ou à des fins analogues ; il peut y être assuré un service de petite restauration (art. 17 al. 1 let. H LRDBH).</w:t>
      </w:r>
    </w:p>
    <w:p>
      <w:r>
        <w:t>Le café-restaurant exploité par la recourante de façon saisonnière entre dans la catégorie précitée. 3) a. L'exploitant doit gérer l'établissement de façon personnelle et effective. Il répond du comportement adopté par les personnes participant à l'exploitation et à l'animation de l'établissement dans l'accomplissement de leur travail. (art. 21 al. 1 et 3 LRDBH).</w:t>
      </w:r>
    </w:p>
    <w:p>
      <w:r>
        <w:t>Il est interdit de servir des boissons alcooliques aux jeunes, conformément aux dispositions de protection prévues par la législation fédérale en matière d'alcool (art. 49 al. 1 let. a LRDBH).</w:t>
      </w:r>
    </w:p>
    <w:p>
      <w:r>
        <w:t>Aux termes de l'art. 41 al. 1 let. i de la loi fédérale sur l'alcool du 21 juin 1932 (RS 680 – LAlc), le commerce de détail de boissons distillées à des enfants et adolescents de moins de 18 ans est interdit.</w:t>
      </w:r>
    </w:p>
    <w:p>
      <w:r>
        <w:t>b. En l'espèce, le 2 août 2013, M. D______ a servi un « shot de rhum » à deux mineures. Celui-ci a admis les faits. Monsieur D______ était le serveur de Mme A______, exploitante. Partant, celle-ci répondait de son comportement.</w:t>
      </w:r>
    </w:p>
    <w:p>
      <w:r>
        <w:t>Il découle de ce qui précède que la recourante a objectivement contrevenu à la LRDBH. 4) a. Celui qui, intentionnellement ou par négligence n'aura pas observé dans le commerce de détail les interdictions de faire le commerce prévues à l'art. 41 LAlc sera puni d'une amende (art. 57 al. 2 let. b LAlc).</w:t>
      </w:r>
    </w:p>
    <w:p>
      <w:r>
        <w:t>Selon l’art. 74 al. 1 LRDBH, le département peut infliger une amende administrative de CHF 100.- à CHF 60'000.- en cas d’infraction à la loi, à ses dispositions d’application ou aux conditions particulières des autorisations qu’elle prévoit.</w:t>
      </w:r>
    </w:p>
    <w:p>
      <w:r>
        <w:t>- 5/8 - A/2801/2013</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(ATA/14/2011 du 11 janvier 2011 ; ATA/788/2010 du 16 novembre 2010 ; ATA/571/2010 du 31 août 2010 ; Pierre MOOR, Droit administratif : les actes administratifs et leur contrôle, vol. 2, 2011, ch. 1.4.5.5, p. 160 s).</w:t>
      </w:r>
    </w:p>
    <w:p>
      <w:r>
        <w:t>c.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w:t>
      </w:r>
    </w:p>
    <w:p>
      <w:r>
        <w:t>d. Il est ainsi nécessaire que le contrevenant ait commis une faute, fût-ce sous la forme d’une simple négligence (Ulrich HÄFELIN/Georg MÜLLER/Felix UHLMANN, Allgemeines Verwaltungsrecht, 6ème éd., Zürich-Bâle-Genève 2006, p. 252, n. 1179).</w:t>
      </w:r>
    </w:p>
    <w:p>
      <w:r>
        <w:t>e. En l'espèce, le Scom a infligé à la recourante une amende d'un montant de CHF 2'000.-, contestée par celle-ci. Elle estimait que si la vente d'une boisson légèrement alcoolisée à deux mineures paraissait objectivement réalisée, elle ne reconnaissait pas sa responsabilité sur le plan subjectif puisque la faute qu'elle avait commise n'était pas intentionnelle.</w:t>
      </w:r>
    </w:p>
    <w:p>
      <w:r>
        <w:t>Le 2 août 2013, l'attention des inspecteurs de la police a été attirée par deux adolescentes en train de consommer un granité. Partant, l'apparence de celles-ci ne laissait pas entièrement croire qu'elles étaient majeures. Le serveur de l'établissement, M. D______ aurait dû contrôler leurs pièces d'identité ou au moins les interroger sur leurs âges respectifs. Aucune mesure de précaution n'ayant été entreprise, une violation de la LRDBH et à la LAlc, doit être retenue.</w:t>
      </w:r>
    </w:p>
    <w:p>
      <w:r>
        <w:t>Mme A______ se trouvant sur les lieux, et n'ayant soit pas dûment instruit son employé, soit pas contrôlé d'assez près son activité, a commis à tout le moins une négligence. 5) a. Selon la jurisprudence, l’administration doit faire preuve de sévérité afin d’assurer le respect de la loi et jouit d’un large pouvoir d’appréciation pour infliger une amende (ATA/14/2011; ATA/788/2010 et ATA/571/2010 précités). La juridiction de céans ne la censure qu’en cas d’excès ou d'abus (ATA/134/2014 du 4 mars 2014 consid. 8b et les arrêts cités). Enfin, l’amende doit respecter le principe de la proportionnalité (ATA/533/2010 du 4 août 2010 ; ATA/201/2010 du 23 mars 2010).</w:t>
      </w:r>
    </w:p>
    <w:p>
      <w:r>
        <w:t>- 6/8 - A/2801/2013</w:t>
      </w:r>
    </w:p>
    <w:p>
      <w:r>
        <w:t>b.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ATA/134/2014 précité).</w:t>
      </w:r>
    </w:p>
    <w:p>
      <w:r>
        <w:t>c. En l'espèce, le Scom a infligé à la recourante une amende d'un montant de de CHF 2'000.-, contestée par l'intéressée. Cette dernière estime que l'amende infligée est disproportionnée au regard de la faute commise.</w:t>
      </w:r>
    </w:p>
    <w:p>
      <w:r>
        <w:t>Les antécédents et la situation personnelle de l'exploitante n’ont pas fait l’objet d’investigations de la part du Scom avant qu’il ne prenne sa décision. Celle-ci a été rendue le premier jour ouvrable suivant l’établissement du rapport de police du vendredi 2 août 2013 sur lequel elle se fonde. Le Scom n’a pas invité la recourante à se déterminer sur ce qui lui était reproché et n’a pas non plus procédé à son audition, portant en particulier sur sa situation financière.</w:t>
      </w:r>
    </w:p>
    <w:p>
      <w:r>
        <w:t>Si les faits relatifs à l'infraction elle-même sont établis, c'est uniquement grâce au rapport de police et aux indications de la recourante et son employé quant au déroulement de ceux-ci. L’autorité administrative n’a pas procédé à l’établissement de tous les éléments nécessaires et pertinents pour forger sa détermination, alors qu’il lui incombait de le faire (art. 19 et 20 LPA ; ATA/134/2014 précité ; ATA/791/2013 du 3 décembre 2013 ; ATA/71/2012 du 31 janvier 2012). En n’impartissant pas de délai à la recourante pour que celle-ci puisse se déterminer, le Scom n’a pas respecté le droit d’être entendu de l’intéressée. Le dossier ne révèle pas que le Scom se serait heurté à une difficulté particulière à cet égard, ni ne fournit d’explications quant à la précipitation dans laquelle il a agi.</w:t>
      </w:r>
    </w:p>
    <w:p>
      <w:r>
        <w:t>Au vu de l’ensemble des circonstances et par économie de procédure (ATA/791/2013 précité consid. 5d) dès lors que les faits sont avérés, la chambre administrative confirmera l’amende dans son principe et, au regard du principe de proportionnalité (ATA/74/2013 du 6 février 2013 consid. 6c), en réduira le montant à CHF 600.-. 6)</w:t>
      </w:r>
    </w:p>
    <w:p>
      <w:r>
        <w:t>Au vu de ce qui précède, le recours sera partiellement admis. La décision querellée sera partiellement annulée et l'amende administrative sera confirmée dans son principe mais réduite à CHF 600.-.</w:t>
      </w:r>
    </w:p>
    <w:p>
      <w:r>
        <w:t>- 7/8 - A/2801/2013</w:t>
      </w:r>
    </w:p>
    <w:p>
      <w:r>
        <w:t>Malgré l'issue du litige, aucun émolument ne sera perçu (art. 87 al. 1 LPA). Une indemnité de procédure de CHF 500.- sera allouée à la recourante, qui obtient partiellement gain de cause et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