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ATA/581/2017 vom 23. Mai 2017</w:t>
      </w:r>
    </w:p>
    <w:p>
      <w:r>
        <w:t>GE Cour de justice, 2017-05-23, FR</w:t>
      </w:r>
    </w:p>
    <w:p>
      <w:r>
        <w:rPr>
          <w:b/>
        </w:rPr>
        <w:t xml:space="preserve">Quelle: </w:t>
      </w:r>
      <w:r>
        <w:t>https://mcp.opencaselaw.ch/entscheid/ge_gerichte_ATA_581_2017</w:t>
      </w:r>
    </w:p>
    <w:p>
      <w:r>
        <w:t>FR: GE_GERICHTE ATA/581/2017 du 23 mai 2017</w:t>
      </w:r>
    </w:p>
    <w:p>
      <w:r>
        <w:t>IT: GE_GERICHTE ATA/581/2017 del 23 maggio 2017</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Dans un premier grief, la recourante soutient que l’État aurait dû agir non par décision, mais par voie d’action.</w:t>
      </w:r>
    </w:p>
    <w:p>
      <w:r>
        <w:rPr>
          <w:b/>
        </w:rPr>
        <w:t>E. 3</w:t>
      </w:r>
    </w:p>
    <w:p>
      <w:r>
        <w:t>a. La chambre administrative est l’autorité supérieure ordinaire de recours en matière administrative (art. 132 LOJ, correspondant à l’art. 56A al. 1 de l’ancienne loi sur l’organisation judiciaire du 22 novembre 1941 - aLOJ, en vigueur jusqu'au 31 décembre 2010). Le recours à la chambre administrative est ouvert contre les décisions des autorités et juridictions administratives au sens des art. 4, 4A, 5, 6 al. 1 let. a et e et 57 LPA. Sont réservées les exceptions prévues par la loi (art. 132 al. 2 LOJ, correspondant à l’art. 56A al. 2 aLOJ). La chambre administrative connaît en instance cantonale unique des actions fondées sur le droit public qui ne peuvent pas faire l’objet d’une décision au sens de l’art. 132 al. 2 LOJ et qui découlent d’un contrat de droit public. Les dispositions de la LPA en matière de recours s’appliquent par analogie à ces actions (art. 132 al. 3 LOJ, correspondant à l’art. 56G aLOJ).</w:t>
      </w:r>
    </w:p>
    <w:p>
      <w:r>
        <w:t>b. Avant le 1er janvier 2009, la chambre administrative n'était compétente pour connaître des recours contre les décisions concernant le statut et les rapports de service des fonctionnaires et autres membres du personnel de l’État que dans la mesure où une disposition légale, réglementaire ou statutaire le prévoyait (art. 56B</w:t>
      </w:r>
    </w:p>
    <w:p>
      <w:r>
        <w:t>- 6/10 - A/2777/2016 al. 4 aLOJ). Quant à l'art. 56G aLOJ qui réglementait l'ancienne action pécuniaire largement utilisée pour régler le contentieux financier de la fonction publique, sa teneur a été modifiée. Tout d'abord intitulé « action contractuelle » depuis l'entrée en vigueur le 1er janvier 2009 de la modification législative du 18 septembre 2008, et réservé aux prétentions fondées sur le droit public qui ne pouvaient pas faire l'objet d'une décision et qui découlaient d'un contrat de droit public, il est devenu depuis le 1er janvier 2011 l'art. 132 al. 3 LOJ.</w:t>
      </w:r>
    </w:p>
    <w:p>
      <w:r>
        <w:t>Le but du législateur était de simplifier le contentieux administratif de la fonction publique. Désormais, la voie du recours à la chambre administrative est ouverte en cas de litige entre un agent public et une collectivité publique portant sur des prétentions pécuniaires, dans tous les cas où la détermination relative à celles-ci peut sans difficulté faire l'objet d'une décision ordinaire (MGC 2007- 2008/VIII A 6501 p. 6549). La conséquence de cette modification est importante. Le fonctionnaire ne peut plus intenter une action pécuniaire pour des prétentions fondées sur les rapports de service. Il doit formuler ses prétentions auprès de l’autorité qui, selon lui, viole ses droits (art. 4A LPA). L’autorité ouvre alors une procédure qui est régie par la LPA. Après avoir instruit la cause, l’autorité concernée prend une décision sujette à recours. La juridiction administrative n'intervient plus que sur recours contre cette décision. De son côté, l'action contractuelle de l'art. 132 al. 3 LOJ n'est plus une voie de droit ouverte pour ce type de contentieux, étant désormais réservée à celui des contrats de droit public (ATA/1301/2015 précité consid. 2b et les références citées).</w:t>
      </w:r>
    </w:p>
    <w:p>
      <w:r>
        <w:t>Pour que l’action soit recevable, il faut ainsi que les conclusions prises par le demandeur ne puissent faire l'objet d'une décision (ATA/119/2013 du 26 février 2013 consid. 2).</w:t>
      </w:r>
    </w:p>
    <w:p>
      <w:r>
        <w:t>c. En l’espèce, l’autorité a prononcé une décision, ce qui démontre que ce mode de faire était possible. Le litige ne porte pas sur des prétentions qui, en règle générale à cause de procédures antérieures, ne peuvent faire l’objet d’une décision (pour des exemples de telles situations, ATA/699/2016 du 16 août 2016 ; ATA/655/2011 du 18 octobre 2011).</w:t>
      </w:r>
    </w:p>
    <w:p>
      <w:r>
        <w:t>Ce grief doit en conséquence être écarté.</w:t>
      </w:r>
    </w:p>
    <w:p>
      <w:r>
        <w:rPr>
          <w:b/>
        </w:rPr>
        <w:t>E. 4</w:t>
      </w:r>
    </w:p>
    <w:p>
      <w:r>
        <w:t>La recourante soutient ensuite que la décision du 31 août 2015 serait radicalement nulle.</w:t>
      </w:r>
    </w:p>
    <w:p>
      <w:r>
        <w:t>a. La nullité absolue d'une décision peut être invoquée en tout temps devant toute autorité et doit être constatée d'office. Elle ne frappe que les décisions affectées des vices les plus graves, manifestes ou du moins facilement reconnaissables et pour autant que sa constatation ne mette pas sérieusement en danger la sécurité du droit. Sauf dans les cas expressément prévus par la loi, il ne faut admettre la nullité qu'à titre exceptionnel, lorsque les circonstances sont telles</w:t>
      </w:r>
    </w:p>
    <w:p>
      <w:r>
        <w:t>- 7/10 - A/2777/2016 que le système d'annulabilité n'offre manifestement pas la protection nécessaire (ATF 130 II 249 consid. 2.4 ; arrêt du Tribunal fédéral 6B_354/2015 du 21 janvier 2016 consid. 4.1). Des vices de fond d'une décision n'entraînent qu'exceptionnellement sa nullité. Entrent avant tout en considération comme motifs de nullité l'incompétence fonctionnelle et matérielle de l'autorité appelée à statuer, ainsi qu'une erreur manifeste de procédure (ATF 129 I 361 consid. 2.1 et les arrêts cités ; arrêt du Tribunal fédéral 6B_354/2015 du 21 janvier 2016 consid. 4.1).</w:t>
      </w:r>
    </w:p>
    <w:p>
      <w:r>
        <w:t>b. En l’espèce, l’art. 53 al. 2 du règlement d’application de la loi générale relative au personnel de l’administration cantonale, du pouvoir judiciaire et des établissements publics médicaux du 24 février 1999 (RPAC - B 5 05.01), mentionné dans la décision précitée, prévoit qu’un fonctionnaire a droit à son traitement dès le jour où il occupe sa fonction et jusqu’au jour où il cesse de l’occuper, pour cause de démission ou pour toute autre cause.</w:t>
      </w:r>
    </w:p>
    <w:p>
      <w:r>
        <w:t>La recourante a été absente de son travail pour raisons de santé du 21 août 2012 au 31 mai 2014. Par la suite, elle n’a pas repris le travail, son médecin indiquant qu’elle avait retrouvé une pleine capacité de travail sauf dans le service qui l’employait.</w:t>
      </w:r>
    </w:p>
    <w:p>
      <w:r>
        <w:t>Dans ces circonstances, la décision du 31 août 2015 disposait d’une base légale et était au plus annulable.</w:t>
      </w:r>
    </w:p>
    <w:p>
      <w:r>
        <w:t>Dès lors qu’elle n’a pas été contestée dans le délai de recours par l’intéressée, elle est devenue définitive et exécutoire.</w:t>
      </w:r>
    </w:p>
    <w:p>
      <w:r>
        <w:t>En conséquence, ce grief sera aussi rejeté.</w:t>
      </w:r>
    </w:p>
    <w:p>
      <w:r>
        <w:rPr>
          <w:b/>
        </w:rPr>
        <w:t>E. 5</w:t>
      </w:r>
    </w:p>
    <w:p>
      <w:r>
        <w:t>Tant la doctrine que la jurisprudence reconnaissent que le principe de la répétition de l'indu, énoncé aux art. 62 ss de la loi fédérale complétant le Code civil suisse du 30 mars 1911 (Livre cinquième : Droit des obligations (CO - RS 220), constitue une règle générale de l'ordre juridique, applicable en droit public (ATF 138 V 426 consid. 5.1 ; 135 II 274 consid. 3.1 ; ATA/655/2011 du 18 octobre 2011 consid. 4a ; Pierre MOOR/Etienne POLTIER, Droit administratif, vol. 2, 3ème édition, 2011, p. 168-169 ; Blaise KNAPP, Précis de droit administratif, 4ème édition, 1991, p. 166 ch. 756). Selon la jurisprudence, l'obligation de restituer l'indu se fonde en premier lieu sur les dispositions des lois spéciales qui la prévoient - non présentes en l’occurrence - et, à défaut, sur les règles générales de l'enrichissement illégitime au sens des art. 62 à 67 CO (ATF 138 V 426 consid. 5.1 ; 128 V 50 consid. 2). Dès lors que l'on soumet l'obligation de restituer aux art. 62 ss CO, il convient en principe d'appliquer ces dispositions avec leurs avantages et inconvénients respectifs pour l'enrichi et le lésé, sans en dénaturer le sens ou la portée, quand bien même elles s'incorporent</w:t>
      </w:r>
    </w:p>
    <w:p>
      <w:r>
        <w:t>- 8/10 - A/2777/2016 dans un système régi en partie par le droit public (ATF 138 V 426 consid. 5.1 ; 130 V 414 consid. 3.2).</w:t>
      </w:r>
    </w:p>
    <w:p>
      <w:r>
        <w:t>Ainsi, l'administré qui verse à l'État une somme dont il n'est pas redevable est en droit d'en réclamer la restitution, même en cas de silence de la loi, si le versement est intervenu sans cause valable (ATA/655/2011 précité consid. 4a ; ATA/508/1997 du 26 août 1997 ; Augustin MACHERET, La restitution de taxes perçues indûment par l'État en droit suisse, Études suisses de droit européen, vol. 18, 1976, p. 191 ss ; cf. également ATA/242/2011 du 12 avril 2011).</w:t>
      </w:r>
    </w:p>
    <w:p>
      <w:r>
        <w:t>A contrario, l'État qui verserait à l'administré une somme dont il n'est pas redevable est en droit d'en réclamer la restitution même si le versement est intervenu sans cause valable, alors même que le cas n'est pas prévu expressément par la loi (ATA/655/2011 précité consid. 4a ; ATA/1024/2014 du 16 décembre 2014).</w:t>
      </w:r>
    </w:p>
    <w:p>
      <w:r>
        <w:rPr>
          <w:b/>
        </w:rPr>
        <w:t>E. 6</w:t>
      </w:r>
    </w:p>
    <w:p>
      <w:r>
        <w:t>a. Dès lors, sur la base de l’art. 62 CO, qui constitue la règle de principe (Pierre TERCIER/Pascal PICHONNAZ, Le droit des obligations, 5ème éd., 2012, n. 1824) ou clause générale (Benoît CHAPPUIS, in Commentaire romand, Code des obligations I, 2ème éd., 2012, n. 1 ad art. 62 CO) et selon lequel celui qui, sans cause légitime, s'est enrichi aux dépens d'autrui, est tenu à restitution (al. 1), la restitution est due, en particulier, de ce qui a été reçu sans cause valable, en vertu d'une cause qui ne s'est pas réalisée, ou d'une cause qui a cessé d'exister (al. 2), la recourante serait en principe tenue à rembourser les salaires versés pour la période du 1er septembre 2015 au 31 mars 2016.</w:t>
      </w:r>
    </w:p>
    <w:p>
      <w:r>
        <w:t>b. Toutefois, en vertu de l’art. 63 al. 1 CO, celui qui a payé volontairement ce qu'il ne devait pas ne peut le répéter s'il ne prouve qu'il a payé en croyant, par erreur, qu'il devait ce qu'il a payé.</w:t>
      </w:r>
    </w:p>
    <w:p>
      <w:r>
        <w:t>En outre, à teneur de l’art. 64 CO, il n'y a pas lieu à restitution, dans la mesure où celui qui a reçu indûment établit qu'il n'est plus enrichi lors de la répétition ; à moins cependant qu'il ne se soit dessaisi de mauvaise foi de ce qu'il a reçu ou qu'il n'ait dû savoir, en se dessaisissant, qu'il pouvait être tenu à restituer.</w:t>
      </w:r>
    </w:p>
    <w:p>
      <w:r>
        <w:rPr>
          <w:b/>
        </w:rPr>
        <w:t>E. 7</w:t>
      </w:r>
    </w:p>
    <w:p>
      <w:r>
        <w:t>En l’espèce, il a déjà été relevé ci-dessus que la décision du 31 août 2015 n’était pas nulle.</w:t>
      </w:r>
    </w:p>
    <w:p>
      <w:r>
        <w:t>D’autre part, les courriers électroniques produits par l’autorité intimée démontrent que le salaire de l’intéressée a été versé entre les mois de septembre 2015 et mars 2016 du fait d’une erreur de communication, l’ordre d’interrompre le versement du salaire n’ayant pas été pris en compte. L’État s’est donc appauvri, et la recourante s’est enrichie, sans cause.</w:t>
      </w:r>
    </w:p>
    <w:p>
      <w:r>
        <w:t>De plus, la recourante, qui avait reçu la décision du 31 août 2015 et ne l’avait pas contestée, devait savoir qu’elle pouvait être tenue à remboursement,</w:t>
      </w:r>
    </w:p>
    <w:p>
      <w:r>
        <w:t>- 9/10 - A/2777/2016 cette possibilité étant non seulement réservée dans le corps de la décision mais aussi mentionnée en toutes lettres dans le « concerne » de ladite lettre.</w:t>
      </w:r>
    </w:p>
    <w:p>
      <w:r>
        <w:t>Dans ces conditions, la décision d’exiger le remboursement des traitements perçus en trop est en tous points conforme aux règles du CO telles qu’applicables en droit public et respecte le principe de la bonne foi.</w:t>
      </w:r>
    </w:p>
    <w:p>
      <w:r>
        <w:rPr>
          <w:b/>
        </w:rPr>
        <w:t>E. 8</w:t>
      </w:r>
    </w:p>
    <w:p>
      <w:r>
        <w:t>Vu ce qui précède, le recours sera rejeté et la décision querellée sera confirmée.</w:t>
      </w:r>
    </w:p>
    <w:p>
      <w:r>
        <w:t>Un émolument de CHF 1'000.- sera mis à la charge de la recourante, qui succombe (art. 87 al. 1 LPA) et aucune indemnité de procédure ne sera allouée (art. 87 al. 2).</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