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ATA/579/2015 vom 8. Juni 2015</w:t>
      </w:r>
    </w:p>
    <w:p>
      <w:r>
        <w:t>GE Cour de justice, 2015-06-08, FR</w:t>
      </w:r>
    </w:p>
    <w:p>
      <w:r>
        <w:rPr>
          <w:b/>
        </w:rPr>
        <w:t xml:space="preserve">Quelle: </w:t>
      </w:r>
      <w:r>
        <w:t>https://mcp.opencaselaw.ch/entscheid/ge_gerichte_ATA_579_2015</w:t>
      </w:r>
    </w:p>
    <w:p>
      <w:r>
        <w:t>FR: GE_GERICHTE ATA/579/2015 du 8 juin 2015</w:t>
      </w:r>
    </w:p>
    <w:p>
      <w:r>
        <w:t>IT: GE_GERICHTE ATA/579/2015 del 8 giugno 2015</w:t>
      </w:r>
    </w:p>
    <w:p>
      <w:pPr>
        <w:pStyle w:val="Heading2"/>
      </w:pPr>
      <w:r>
        <w:t>Erwägungen</w:t>
      </w:r>
    </w:p>
    <w:p>
      <w:r>
        <w:rPr>
          <w:b/>
        </w:rPr>
        <w:t>E. 12</w:t>
      </w:r>
    </w:p>
    <w:p>
      <w:r>
        <w:t>septembre 1985 - LPA - E 5 10). 2)</w:t>
      </w:r>
    </w:p>
    <w:p>
      <w:r>
        <w:t>Selon l’art. 10 al. 2 1ère phr. de la loi d'application de la loi fédérale sur les étrangers du 16 juin 1988 (LaLEtr - F 2 10), la chambre administrative doit statuer dans les dix jours qui suivent sa saisine. Ayant reçu le recours le 29 mai 2015 et statuant ce jour, elle respecte ce délai.</w:t>
      </w:r>
    </w:p>
    <w:p>
      <w:r>
        <w:t>La chambre administrative est en outre compétente pour apprécier l'opportunité des décisions portées devant elle (art. 10 al. 2 2ème phr. LaLEtr). 3)</w:t>
      </w:r>
    </w:p>
    <w:p>
      <w:r>
        <w:t>Au terme de l’art. 74 al. 1 let. a de la loi fédérale sur les étrangers du</w:t>
      </w:r>
    </w:p>
    <w:p>
      <w:r>
        <w:rPr>
          <w:b/>
        </w:rPr>
        <w:t>E. 16</w:t>
      </w:r>
    </w:p>
    <w:p>
      <w:r>
        <w:t>décembre 2005 (LEtr - RS 142.20),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- 5/7 - A/1469/2015</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la justifier,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w:t>
      </w:r>
    </w:p>
    <w:p>
      <w:r>
        <w:t>En l’espèce, il ressort du dossier que l’intéressé a été interpellé à quatre reprises durant l’année 2015 dans le quartier des Pâquis alors qu’il était en possession de marijuana. Lors de sa dernière arrestation, il avait de plus une boulette de cocaïne dissimulée dans la bouche. Les explications qu’il donne pour expliquer la présence dans sa bouche d’une boulette de cocaïne ne permettent pas d’exclure son implication dans un trafic de stupéfiants : on ne voit en effet pas pour quel motif un tiers lui confierait la garde d’une telle boulette si ce n’est dans le cas d’une transaction de ce produit. De plus, l’intéressé, s’il indique vivre à Genève chez sa compagne, laquelle financerait notamment sa nourriture, ne donne aucun élément permettant de vérifier cette allégation.</w:t>
      </w:r>
    </w:p>
    <w:p>
      <w:r>
        <w:t>Dans ces circonstances, les conditions nécessaires au prononcé d’une mesure d’interdiction à une personne résidant au Tessin de pénétrer sur le territoire du canton de Genève sont remplies. Au surplus, la durée de la mesure, soit six mois, respecte le principe de la proportionnalité.</w:t>
      </w:r>
    </w:p>
    <w:p>
      <w:r>
        <w:t>- 6/7 - A/1469/2015</w:t>
      </w:r>
    </w:p>
    <w:p>
      <w:r>
        <w:t>Dans ces circonstances, le recours sera admis, le jugement du TAPI sera annulé et la décision initiale de l’officier de police sera confirmée. 6)</w:t>
      </w:r>
    </w:p>
    <w:p>
      <w:r>
        <w:t>Vu la nature du litige, il ne sera pas perçu d’émolument (art. 87 al. 1 LPA ; art. 12 al. 1 du règlement sur les frais, émoluments et indemnités en procédure administrative du 30 juillet 1986 - RFPA - E 5 10.03). Aucune indemnité de procédure ne sera allouée à l’intimé,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