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ATA/579/2012 vom 28. August 2012</w:t>
      </w:r>
    </w:p>
    <w:p>
      <w:r>
        <w:t>GE Cour de justice, 2012-08-28, FR</w:t>
      </w:r>
    </w:p>
    <w:p>
      <w:r>
        <w:rPr>
          <w:b/>
        </w:rPr>
        <w:t xml:space="preserve">Quelle: </w:t>
      </w:r>
      <w:r>
        <w:t>https://mcp.opencaselaw.ch/entscheid/ge_gerichte_ATA_579_2012</w:t>
      </w:r>
    </w:p>
    <w:p>
      <w:r>
        <w:t>FR: GE_GERICHTE ATA/579/2012 du 28 août 2012</w:t>
      </w:r>
    </w:p>
    <w:p>
      <w:r>
        <w:t>IT: GE_GERICHTE ATA/579/2012 del 28 agosto 2012</w:t>
      </w:r>
    </w:p>
    <w:p>
      <w:pPr>
        <w:pStyle w:val="Heading2"/>
      </w:pPr>
      <w:r>
        <w:t>Erwägungen</w:t>
      </w:r>
    </w:p>
    <w:p>
      <w:r>
        <w:rPr>
          <w:b/>
        </w:rPr>
        <w:t>E. 1</w:t>
      </w:r>
    </w:p>
    <w:p>
      <w:r>
        <w:t>Interjeté devant la juridiction compétente et dans le délai légal, le recours est recevable (art. 132 de la loi sur l’organisation judiciaire - LOJ - E 2 05 ; art. 62 al. 1 let. a de la loi sur la procédure administrative du 12 septembre 1985 - LPA - E 5 10).</w:t>
      </w:r>
    </w:p>
    <w:p>
      <w:r>
        <w:rPr>
          <w:b/>
        </w:rPr>
        <w:t>E. 2</w:t>
      </w:r>
    </w:p>
    <w:p>
      <w:r>
        <w:t>Compte tenu du mariage civil des recourants, intervenu après le prononcé du jugement du TAPI, il convient de rectifier d’office la qualité de Mme M_____ qui sera désormais désignée sous le nom de Mme Z______ S______.</w:t>
      </w:r>
    </w:p>
    <w:p>
      <w:r>
        <w:rPr>
          <w:b/>
        </w:rPr>
        <w:t>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Mme S______ conteste la décision de l’OCP du 4 septembre 2009 refusant de soumettre son dossier et celui de ses enfants avec un préavis favorable à l’ODM en vue de l’octroi d’une autorisation de séjour pour cas de rigueur personnelle, respectivement prononçant son renvoi de Suisse.</w:t>
      </w:r>
    </w:p>
    <w:p>
      <w:r>
        <w:t>Quant à M. S______, il conteste la décision de l’OCP du 9 mars 2009 constatant que son renvoi était possible et lui accordant un délai de départ. Même si ces deux décisions ne sont pas de même nature, leurs problématiques sont similaires et elles concernent les membres d’une même famille. C’est donc à juste titre que le TAPI a joint dans une même cause le recours formé par chacun d’eux.</w:t>
      </w:r>
    </w:p>
    <w:p>
      <w:r>
        <w:rPr>
          <w:b/>
        </w:rPr>
        <w:t>E. 5</w:t>
      </w:r>
    </w:p>
    <w:p>
      <w:r>
        <w:t>a. La recourante a sollicité, pour elle et ses enfants, l’octroi d’un permis de séjour dérogeant aux conditions ordinaires d’admission d’un étranger pour tenir compte de sa situation de santé, car elle devait être considérée comme un « cas individuel d’extrême gravité » au sens de l’art. 30 al. 1 let. b LEtr.</w:t>
      </w:r>
    </w:p>
    <w:p>
      <w:r>
        <w:t>b. A teneur de l’art. 31 al. 1 OASA, lors de l’appréciation d’un cas d’extrême gravité, il convient de tenir compte notamment :</w:t>
      </w:r>
    </w:p>
    <w:p>
      <w:r>
        <w:t>- 11/17 - A/1148/2009</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13f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ATA/531/2010 du 4 avril 2010).</w:t>
      </w:r>
    </w:p>
    <w:p>
      <w:r>
        <w:t>d. L’admission d’un cas d’extrême gravité implique que la personne étrangère concernée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w:t>
      </w:r>
    </w:p>
    <w:p>
      <w:r>
        <w:t>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ATA/648/2009 du</w:t>
      </w:r>
    </w:p>
    <w:p>
      <w:r>
        <w:rPr>
          <w:b/>
        </w:rPr>
        <w:t>E. 8</w:t>
      </w:r>
    </w:p>
    <w:p>
      <w:r>
        <w:t>A teneur de l’art. 66 al. 1 let. c LEtr, un étranger auquel une autorisation est refusée fait l’objet d’une décision de renvoi. Telle est la situation de tous les membres de la famille S______.</w:t>
      </w:r>
    </w:p>
    <w:p>
      <w:r>
        <w:rPr>
          <w:b/>
        </w:rPr>
        <w:t>E. 9</w:t>
      </w:r>
    </w:p>
    <w:p>
      <w:r>
        <w:t>a. Si l’exécution du renvoi ou de l’expulsion n’est pas possible, n’est pas licite ou ne peut être raisonnablement exigée, l’étranger doit être admis provisoirement (art. 83 al. 1 LEtr). Cette décision est prise par l’ODM et peut être proposée par les autorités cantonales (art. 83 al. 1 et 6 LEtr).</w:t>
      </w:r>
    </w:p>
    <w:p>
      <w:r>
        <w:t>b. L’exécution n’est pas possible lorsque l’étranger ne peut pas quitter la Suisse pour son Etat d’origine, son Etat de provenance ou un Etat tiers, ni être renvoyé dans un de ces Etats (art. 83 al. 2 LEtr).</w:t>
      </w:r>
    </w:p>
    <w:p>
      <w:r>
        <w:t>- 13/17 - A/1148/2009</w:t>
      </w:r>
    </w:p>
    <w:p>
      <w:r>
        <w:t>c. Elle n’est pas licite lorsque le renvoi de l’étranger dans son Etat d’origine, dans son Etat de provenance ou dans un Etat tiers, est contraire aux engagements de la Suisse relevant du droit international (art. 83 al. 3 LEtr).</w:t>
      </w:r>
    </w:p>
    <w:p>
      <w:r>
        <w:t>d. Elle ne peut être raisonnablement exigée si le renvoi ou l’expulsion de l’étranger dans son pays d’origine ou de provenance le met concrètement en danger, par exemple en cas de guerre, de guerre civile, de violence généralisée ou de nécessité médicale (art. 83 al. 4 LEtr ; Arrêt du Tribunal administratif fédéral précité consid. 3. 3).</w:t>
      </w:r>
    </w:p>
    <w:p>
      <w:r>
        <w:t>L’exécution du renvoi des personnes en traitement médical en Suisse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Tel serait le cas si l’absence de possibilité de traitement adéquat entraînait une dégradation rapide de l’état de santé de l’intéressé au point de conduire de manière certaine à la mise en danger concrète de sa vie ou à une atteinte sérieuse, durable et notablement plus grave de son intégrité physique (Arrêt du Tribunal administratif fédéral E-1839/2008 du 2 février 2012 consid. 4.4 et la jurisprudence citée). L’autorité à qui incombe la décision doit dans chaque cas confronter les aspects humanitaires liés à la situation dans laquelle se trouve l’étranger concerné dans son pays après l’exécution du renvoi à l’intérêt public militant en faveur de son éloignement de Suisse (Arrêt du Tribunal administratif fédéral précité, consid. 4.3 et la jurisprudence citée).</w:t>
      </w:r>
    </w:p>
    <w:p>
      <w:r>
        <w:rPr>
          <w:b/>
        </w:rPr>
        <w:t>E. 10</w:t>
      </w:r>
    </w:p>
    <w:p>
      <w:r>
        <w:t>En l’occurrence, au vu des éléments exposés par les recourants, du dossier et de la situation actuelle prévalant au Kosovo, leur renvoi est possible et licite au sens de l’art. 83 LEtr. Reste à examiner si les motifs médicaux allégués sont susceptibles d’interdire leur renvoi.</w:t>
      </w:r>
    </w:p>
    <w:p>
      <w:r>
        <w:rPr>
          <w:b/>
        </w:rPr>
        <w:t>E. 11</w:t>
      </w:r>
    </w:p>
    <w:p>
      <w:r>
        <w:t>M. S______ est atteint dans sa santé en raison d’un accident du travail. Les problèmes médicaux dont il souffre nécessitent un suivi médical. Toutefois, les atteintes à la santé qu’il présente ne sont pas telles qu’elles empêchent de le renvoyer dans son pays. Le traitement qu’il suit est un traitement médicamenteux accompagné de physiothérapie qu’il lui sera possible de poursuivre dans son pays, dans lequel il continuera à bénéficier des prestations de la SUVA. M. S______ faisant l’objet d’une décision de renvoi depuis le 7 août 1995, laquelle est exécutoire, et son renvoi étant possible au sens de l’art. 83 LEtr, c’est à juste titre que l’OCP a renouvelé le délai de départ qui lui avait été imparti.</w:t>
      </w:r>
    </w:p>
    <w:p>
      <w:r>
        <w:t>- 14/17 - A/1148/2009</w:t>
      </w:r>
    </w:p>
    <w:p>
      <w:r>
        <w:rPr>
          <w:b/>
        </w:rPr>
        <w:t>E. 12</w:t>
      </w:r>
    </w:p>
    <w:p>
      <w:r>
        <w:t>Quant à Mme S______, elle souffre d’un état dépressif important, nécessitant un traitement médicamenteux et un suivi psychothérapeutique. Contrairement à ce qu’affirme le médecin traitant de la recourante dans le certificat médical, il ne ressort pas du dossier de la police des étrangers que la recourante ait allégué avoir fait l’objet de violences particulières au-delà de celles infligées d’une manière générale aux habitants d’un pays soumis à des tensions ou à la violence. Il apparaît au contraire que les problèmes de santé psychiques qu’elle rencontre, de même que ceux de ses enfants, sont liés à une réaction et à une peur de l’avenir consécutive au rejet de la demande d’autorisation de séjour de M. S______ et de la leur. Compte tenu de la situation actuelle prévalant au Kosovo, pays considéré comme exempt de guerre, de guerre civile ou de violences généralisées, et dans lequel existent des structures médicales et psychiatriques susceptibles de permettre à la recourante, qui sera entourée de son mari et de ses enfants, de poursuivre l’accompagnement médical nécessaire, le renvoi de la famille est raisonnablement exigible.</w:t>
      </w:r>
    </w:p>
    <w:p>
      <w:r>
        <w:rPr>
          <w:b/>
        </w:rPr>
        <w:t>E. 13</w:t>
      </w:r>
    </w:p>
    <w:p>
      <w:r>
        <w:t>Le recours de M. S______, agissant pour lui-même et pour son épouse ainsi que leurs enfants, sera rejeté. Un émolument de CHF 400.- sera mis à la charge des époux S______, pris conjointement et solidairement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