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ATA/578/2011 vom 6. September 2011</w:t>
      </w:r>
    </w:p>
    <w:p>
      <w:r>
        <w:t>GE Cour de justice, 2011-09-06, FR</w:t>
      </w:r>
    </w:p>
    <w:p>
      <w:r>
        <w:rPr>
          <w:b/>
        </w:rPr>
        <w:t xml:space="preserve">Quelle: </w:t>
      </w:r>
      <w:r>
        <w:t>https://mcp.opencaselaw.ch/entscheid/ge_gerichte_ATA_578_2011</w:t>
      </w:r>
    </w:p>
    <w:p>
      <w:r>
        <w:t>FR: GE_GERICHTE ATA/578/2011 du 6 septembre 2011</w:t>
      </w:r>
    </w:p>
    <w:p>
      <w:r>
        <w:t>IT: GE_GERICHTE ATA/578/2011 del 6 settembre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w:t>
      </w:r>
    </w:p>
    <w:p>
      <w:r>
        <w:rPr>
          <w:b/>
        </w:rPr>
        <w:t>E. 3</w:t>
      </w:r>
    </w:p>
    <w:p>
      <w:r>
        <w:t>L’objet du litige est l’inclusion dans le bénéfice net imposable ICC et IFD 2006 de la recourante d’un montant de CHF 66’350.- au titre de prestation appréciable en argent à ses actionnaires par ailleurs créanciers chirographaires.</w:t>
      </w:r>
    </w:p>
    <w:p>
      <w:r>
        <w:rPr>
          <w:b/>
        </w:rPr>
        <w:t>E. 4</w:t>
      </w:r>
    </w:p>
    <w:p>
      <w:r>
        <w:t>a. L’art. 57 de la loi fédérale sur l’impôt fédéral direct du 14 décembre 1990 (LIFD - RS 642.11) prévoit que l’impôt sur le bénéfice a pour objet le bénéfice net.</w:t>
      </w:r>
    </w:p>
    <w:p>
      <w:r>
        <w:t>Aux termes de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c. Bien qu’elles ne le mentionnent pas expressément, les deux dispositions susmentionnées visent notamment les distributions dissimulées de bénéfice (S. KUHN/P. BRÜLISAUER, in : M. ZWEIFEL/P. ATHANAS, Kommentar zum schweizerischen Steuerrecht, I/1, Bundesgesetz über die Harmonisierung des direkten Steuern der Kantone und Gemeinden (StHG), 2e éd., n° 74 ad. art. 24</w:t>
      </w:r>
    </w:p>
    <w:p>
      <w:r>
        <w:t>- 6/9 - N° de procédure p. 406), soit des prélèvements qui ne sont pas conformes au droit commercial et qui doivent donc être réintégrés au bénéfice imposable. L’art. 12 let. h LIPM est conforme à l’art. 58 al. 1 let. b LIFD quand bien même il est rédigé différemment (ATA/152/2011 du 8 mars 2011).</w:t>
      </w:r>
    </w:p>
    <w:p>
      <w:r>
        <w:t>d. Selon la jurisprudence, l’existence d’une prestation appréciable en argent suppose la réalisation de quatre conditions cumulatives : la société fait une prestation sans obtenir de contre-prestation correspondante; cette prestation est accordée à un actionnaire ou à une personne le touchant de près; elle n’aurait pas été accordée dans de telles conditions à un tiers; la disproportion entre la prestation et la contre-prestation est manifeste, de telle sorte que les organes de la société auraient pu se rendre compte de l’avantage qu’ils accordaient (ATA/21/2005 du 18 janvier 2005 ; X. OBERSON, Droit fiscal suisse, Bâle 2007, p. 197 n° 33 et les références citées).</w:t>
      </w:r>
    </w:p>
    <w:p>
      <w:r>
        <w:t>e.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 du Tribunal fédéral 2C_275/2010 du 24 août 2010).</w:t>
      </w:r>
    </w:p>
    <w:p>
      <w:r>
        <w:t>f. Les prestations appréciables en argent peuvent apparaître de diverses façons, et les distributions dissimulées de bénéfice consistent en une prestation affectant un compte de charge ou un compte produit, un transfert d’actif à la valeur comptable inférieure à la valeur vénale ou la comptabilisation d’une non-valeur (ATA/684/2010 du 5 octobre 2010). Un prêt sans intérêt constitue une prestation appréciable en argent (Arrêt du Tribunal fédéral 2A.145/2005 du 30 janvier 2006, consid. 9.3).</w:t>
      </w:r>
    </w:p>
    <w:p>
      <w:r>
        <w:t>g. En présence d’une prestation appréciable en argent, les conséquences fiscales sont multiples. Au niveau de la société, l’autorité fiscale réintégrera la prestation dans les bénéfices imposables de celle-ci (X. OBERSON, op. cit. p. 197 n° 35).</w:t>
      </w:r>
    </w:p>
    <w:p>
      <w:r>
        <w:t>En l’espèce, la question est de savoir si le versement de CHF 2'400'000.-, qualifié d'avance aux actionnaires, consiste en une prestation appréciable en argent au sens des dispositions légales et de la jurisprudence. L’autorité de taxation considère ce versement comme un prêt tandis que la société comme le remboursement d’un prêt.</w:t>
      </w:r>
    </w:p>
    <w:p>
      <w:r>
        <w:t>On ne peut pas suivre la contribuable lorsqu’elle soutient que le versement intervient en remboursement des prêts que lui ont consentis ses actionnaires, car ce remboursement intervient en violation des contrats de postposition qui excluent un tel remboursement. La société était consciente du fait qu’il lui était impossible de procéder à tout remboursement en raison de ces contrats, et c’est pour cette</w:t>
      </w:r>
    </w:p>
    <w:p>
      <w:r>
        <w:t>- 7/9 - N° de procédure raison qu’elle a fait figurer les paiements sous le libellé « avance aux actionnaires ». Dans ces circonstances, les conditions de l’existence d’une prestation appréciable en argent sont remplies : dans la mesure où il n’est formellement procédé à aucun remboursement, il s’agit de versements réalisés sans contreprestation perçue de la société ; la condition de la personne du récipiendaire de la prestation est également réalisée. Il en découle que les deux autres conditions sont également réalisées.</w:t>
      </w:r>
    </w:p>
    <w:p>
      <w:r>
        <w:t>La société ne peut pas aujourd’hui se prévaloir de la réalité économique pour échapper aux obligations fiscales découlant de l’interprétation comptable qu’elle a mise en place pour passer outre les conventions de postposition qui excluaient tout remboursement. Peu importe à cet égard qu’il n’y ait pas d’autres créanciers sociaux que les actionnaires-créanciers, et, partant, pas de tiers lésé.</w:t>
      </w:r>
    </w:p>
    <w:p>
      <w:r>
        <w:t>Pour ces motifs, le grief doit être rejeté et le redressement confirmé.</w:t>
      </w:r>
    </w:p>
    <w:p>
      <w:r>
        <w:rPr>
          <w:b/>
        </w:rPr>
        <w:t>E. 5</w:t>
      </w:r>
    </w:p>
    <w:p>
      <w:r>
        <w:t>a. Dans une argumentation subsidiaire, la société se prévaut de la compensation entre les intérêts calculés sur la prestation appréciable en argent et les intérêts que les créanciers auraient eu la possibilité de facturer à la société à raison de leurs prêts.</w:t>
      </w:r>
    </w:p>
    <w:p>
      <w:r>
        <w:t>b. Jurisprudence et doctrine prévoient la possibilité de compenser des avantages réciproques que peuvent se faire la société anonyme et son actionnaire afin d’échapper à l’imposition sur la distribution dissimulée de bénéfice. Toutefois, cette compensation ne vaut qu’entre des prestations dissimulées, apport dissimulé et distribution dissimulée de bénéfice, et pour autant qu’il existe une relation directe entre eux (ATF 113 Ib 23/29 consid. 4c ; Arrêt du Tribunal administratif fédéral A-1360/2006 du 1er mars 2007 consid. 8 ; J.-M. RIVIER, La fiscalité de l'entreprise (société anonyme), Lausanne 1994, p. 275).</w:t>
      </w:r>
    </w:p>
    <w:p>
      <w:r>
        <w:t>En l’espèce, ces conditions ne sont pas réalisées. Les créanciers-actionnaires n’ont pas prétendu que leur créance continuait de porter intérêt et qu’ils renonçaient à ce paiement en contrepartie de l’absence d’intérêt sur le versement qu’ils qualifient de remboursement partiel.</w:t>
      </w:r>
    </w:p>
    <w:p>
      <w:r>
        <w:t>Ce grief doit également être rejeté.</w:t>
      </w:r>
    </w:p>
    <w:p>
      <w:r>
        <w:rPr>
          <w:b/>
        </w:rPr>
        <w:t>E. 6</w:t>
      </w:r>
    </w:p>
    <w:p>
      <w:r>
        <w:t>a. La recourante se prévaut de ce que le prêt n’a pas été comptabilisé dans les périodes fiscales antérieures, sans toutefois exposer le fondement juridique de ce grief.</w:t>
      </w:r>
    </w:p>
    <w:p>
      <w:r>
        <w:t>b. La question de savoir si ce grief répond à l’exigence de motivation (art. 65 al. 2 LPA) peut rester ouverte compte tenu de ce qui suit.</w:t>
      </w:r>
    </w:p>
    <w:p>
      <w:r>
        <w:t>Ce grief est à comprendre comme l’invocation du principe de la bonne foi, à qui on reconnaît le pouvoir, lorsque des conditions bien particulières sont réunies,</w:t>
      </w:r>
    </w:p>
    <w:p>
      <w:r>
        <w:t>- 8/9 - N° de procédure de permettre qu’il soit fait échec au principe de la légalité (ATF 131 II 627/636 consid. 6.1). De jurisprudence constante, le fait qu’un contribuable ait bénéficié de taxations trop basses lors de périodes fiscales antérieures ne lui confère aucun droit à ce qu’une taxation ne soit pas rectifiée, sauf à ce qu’il ait notamment reçu des assurances particulières et expresses de la part de l’autorité de taxation (Arrêt du Tribunal fédéral 2P.338/2004 du 26 avril 2006, consid. 3.1).</w:t>
      </w:r>
    </w:p>
    <w:p>
      <w:r>
        <w:t>En l’espèce, la recourante ne se prévaut d’aucune assurance qui lui aurait été donnée s’agissant du traitement fiscal de l’avance aux actionnaires qu’elle a consentie, de sorte que ce grief, pour autant qu’il soit recevable, doit être rejeté.</w:t>
      </w:r>
    </w:p>
    <w:p>
      <w:r>
        <w:rPr>
          <w:b/>
        </w:rPr>
        <w:t>E. 7</w:t>
      </w:r>
    </w:p>
    <w:p>
      <w:r>
        <w:t>Un émolument de CHF 1’000.- sera mis à la charge de la recourante, qui succombe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