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ATA/577/2021 vom 1. Juni 2021</w:t>
      </w:r>
    </w:p>
    <w:p>
      <w:r>
        <w:t>GE Cour de justice, 2021-06-01, FR</w:t>
      </w:r>
    </w:p>
    <w:p>
      <w:r>
        <w:rPr>
          <w:b/>
        </w:rPr>
        <w:t xml:space="preserve">Quelle: </w:t>
      </w:r>
      <w:r>
        <w:t>https://mcp.opencaselaw.ch/entscheid/ge_gerichte_ATA_577_2021</w:t>
      </w:r>
    </w:p>
    <w:p>
      <w:r>
        <w:t>FR: GE_GERICHTE ATA/577/2021 du 1 juin 2021</w:t>
      </w:r>
    </w:p>
    <w:p>
      <w:r>
        <w:t>IT: GE_GERICHTE ATA/577/2021 del 1 giugno 2021</w:t>
      </w:r>
    </w:p>
    <w:p>
      <w:pPr>
        <w:pStyle w:val="Heading2"/>
      </w:pPr>
      <w:r>
        <w:t>Erwägungen</w:t>
      </w:r>
    </w:p>
    <w:p>
      <w:r>
        <w:rPr>
          <w:b/>
        </w:rPr>
        <w:t>E. 12</w:t>
      </w:r>
    </w:p>
    <w:p>
      <w:r>
        <w:t>septembre 1985 - LPA - E 5 10). 2)</w:t>
      </w:r>
    </w:p>
    <w:p>
      <w:r>
        <w:t>Est litigieux le bien-fondé du refus d'octroyer une autorisation de séjour à la recourante.</w:t>
      </w:r>
    </w:p>
    <w:p>
      <w:r>
        <w:t>a. Le 1er janvier 2019 est entrée en vigueur une modification de la loi fédérale sur les étrangers (LEtr- RS 142.20) et de l'ordonnance relative à l'admission, au séjour et à l'exercice d'une activité lucrative du 24 octobre 2007 (OASA - RS 142.201). Conformément à l'art. 126 al. 1 de la loi fédérale sur les étrangers et l'intégration du 16 décembre 2005 (LEI), les demandes déposées, comme en l'espèce, avant le 1er janvier 2019 sont régies par l'ancien droit (arrêt du Tribunal fédéral 2C_1075/2019 du 21 avril 2020 consid. 1.1).</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dans sa teneur au moment des faits, prévoit que pour apprécier l'existence d'un cas individuel d'extrême gravité, il convient de tenir</w:t>
      </w:r>
    </w:p>
    <w:p>
      <w:r>
        <w:t>- 11/17 - A/558/2020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La question est ainsi de savoir si, en cas de retour dans le pays d'origine, les conditions de sa réintégration sociale, au regard de la situation personnelle, professionnelle et familiale de l'intéressé, seraient gravement compromises (ATA/353/2019 précité consid. 5d ; arrêts du Tribunal fédéral 2C_621/2015 du 11 décembre 2015 consid. 5.2.1 ; 2C_369/2010 du 4 novembre 2010 consid. 4.1).</w:t>
      </w:r>
    </w:p>
    <w:p>
      <w:r>
        <w:t>d. Selon le Tribunal fédéral, le droit à une autorisation de séjour fondée sur l'art. 8 de la Convention de sauvegarde des droits de l'homme et des libertés fondamentales du 4 novembre 1950 (CEDH - RS 0.101) dépend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w:t>
      </w:r>
    </w:p>
    <w:p>
      <w:r>
        <w:t>- 12/17 - A/558/2020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 arrêt du Tribunal fédéral 2C_132/2021 du 8 février 2021 consid. 3.2).</w:t>
      </w:r>
    </w:p>
    <w:p>
      <w:r>
        <w:t>Une ingérence dans l'exercice droit au respect de la vie privée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suppose une pesée des intérêts en présence et l'examen de la proportionnalité de la mesure (ATF 139 I 145 consid. 2.2 ; 135 II 377 consid. 4.3). Selon la jurisprudence, une condamnation à deux ans de privation de liberté constitue la limite à partir de laquelle, en principe, il y a lieu de refuser l'autorisation de séjour, quand il s'agit d'une première demande d'autorisation (ATF 139 I 145 consid. 2.3 ; arrêt du Tribunal fédéral 2C_963/2015 précité consid. 4.2). 3)</w:t>
      </w:r>
    </w:p>
    <w:p>
      <w:r>
        <w:t>En l’espèce, il ressort des pièces apportées par la recourante et de l’audition des témoins que celle-ci est arrivée en Suisse en 2007. Les attestations de X______, de Y______, de versements d’argent et les certificats médicaux produits attestent, comme l’a retenu le TAPI, de sa présence en Suisse entre 2007 et 2011 et à compter de 2014.</w:t>
      </w:r>
    </w:p>
    <w:p>
      <w:r>
        <w:t>Certes, la recournte a déclaré lors de son interpellation en avril 2015 qu’elle était arrivée en Suisse environ deux mois auparavant pour se faire soigner. Cette déclaration s’inscrivait cependant dans le cadre d’un contrôle, alors que la recourante savait se trouver en délicatesse avec les normes régissant le séjour d’étrangers en Suisse. Cette déclaration doit ainsi être relativisée au regard des autres éléments ressortant du dossier. En particulier, le témoin E______ a confirmé que les versements effectués les 4 janvier 2012 et 8 février 2013 depuis son compte en faveur de X______ avaient été des transferts réalisés à la demande de la recourante avec des sommes remises par celle-ci. Le témoin D______ a exposé qu’elle avait de temps en temps donné de l’argent à la recourante. Celle-ci a expliqué qu’elle avait utilisé cet argent pour monter un petit commerce consistant dans l’achat de tissus plaisant aux africains, qu’elle revendait. La recourante a produit une facture du 28 juillet 2012 de T______ AG ainsi que deux autres de V______ AG du 28 mars 2013, toutes trois à son nom, se rapportant à l’achat de tissus, ce qui corrobore les dires du témoin. Enfin, hormis la déclaration précitée faite à la police, la recourante a indiqué de manière constante qu’elle avait séjourné de manière ininterrompue en Suisse depuis 2007 et que son activité</w:t>
      </w:r>
    </w:p>
    <w:p>
      <w:r>
        <w:t>- 13/17 - A/558/2020 de domestique avait pris fin en 2013. Au vu de ces éléments, il convient de retenir que la recourante est demeurée, également en 2012 et 2013, sur territoire helvétique.</w:t>
      </w:r>
    </w:p>
    <w:p>
      <w:r>
        <w:t>Compte tenu de la durée du séjour de la recourante en Suisse, il convient d’admettre qu’elle y a constitué un cercle de connaissances, comme cela ressort d’ailleurs de l’audition des témoins. La recourante n'a pas recouru à l'aide sociale et ne fait l'objet d’aucune poursuite. Elle a par ailleurs régulièrement travaillé. Depuis 2013, elle a notamment œuvré dans le domaine du nettoyage hôtelier. Cette source de revenus s’est toutefois tarie avec la pandémie du coronavirus, qui a entraîné la fermeture temporaire des hôtels et une nette diminution de leur fréquentation. Lors de l’audience qui s’est tenue devant la chambre de céans, la recourante a exposé qu’elle vivait de la vente de perruques tressées et grâce à l’aide d’amis. Compte tenu de ces éléments, même si la recourante a démontré sa volonté de participer à la vie économique genevoise, son intégration professionnelle ne saurait être qualifiée d'exceptionnelle au sens de la jurisprudence. Il ne peut être considéré qu’elle aurait fait preuve d’une ascension professionnelle remarquable.</w:t>
      </w:r>
    </w:p>
    <w:p>
      <w:r>
        <w:t>La recourante est arrivée en Suisse à l'âge de 22 ans. Elle a ainsi passé la plus grande partie de son existence au Sénégal, notamment son enfance, son adolescence et le début de sa vie d’adulte, à savoir des périodes décisives pour la formation de la personnalité. Elle a, certes, exposé que ses relations familiales, y compris avec sa sœur vivant en France, sont distantes, sa famille ayant vécu comme une honte le fait qu’elle ait refusé d’épouser l’homme qui avait été choisi pour elle. Cela étant, elle est demeurée en contact avec sa famille restée au Sénégal, singulièrement avec sa mère, et lui a versé de l’argent lorsque les circonstances le lui permettaient. Par ailleurs, la recourante n’a pas acquis en Suisse des connaissances et qualifications professionnelles particulières si spécifiques qu'elle ne pourrait pas les mettre à profit dans son pays d’origine. Elle est célibataire, relativement jeune, en bonne santé et connaît les us et coutumes de son pays. Sa réintégration au Sénégal n’apparaît ainsi pas compromise. Certes, après autant d’années d’absence, elle traversera une nécessaire période de réadaptation, mais devrait, pour les raisons qui viennent d’être évoquées, pouvoir se réintégrer sans difficultés insurmontables.</w:t>
      </w:r>
    </w:p>
    <w:p>
      <w:r>
        <w:t>Au vu de ce qui précède, l’autorité intimée a retenu à bon droit que les conditions permettant de retenir l’existence d’un cas d’extrême gravité justifiant de déroger aux règles ordinaires d’admission n’étaient pas remplies. 4)</w:t>
      </w:r>
    </w:p>
    <w:p>
      <w:r>
        <w:t>Il convient encore d’examiner si la recourante peut se prévaloir de l'« opération Papyrus ».</w:t>
      </w:r>
    </w:p>
    <w:p>
      <w:r>
        <w:t>a. L'« opération Papyrus » développée par le canton de Genève a visé à régulariser la situation des personnes non ressortissantes UE/AELE bien intégrées</w:t>
      </w:r>
    </w:p>
    <w:p>
      <w:r>
        <w:t>- 14/17 - A/558/2020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(ATA/1000/2019 du 11 juin 2019 consid. 5b et les arrêts cités).</w:t>
      </w:r>
    </w:p>
    <w:p>
      <w:r>
        <w:t>L'« opération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 L'« opération Papyrus » a pris fin le 31 décembre 2018.</w:t>
      </w:r>
    </w:p>
    <w:p>
      <w:r>
        <w:t>b. En l'espèce, la recourante séjournait, au moment du dépôt de sa demande, depuis dix ans en Suisse. Toutefois, elle ne dispose pas d’un emploi lui permettant de subvenir à ses besoins, de sorte qu'elle ne remplit pas l'une des conditions de l'« opération Papyrus ». Par ailleurs, dès lors que cette opération se contentait de concrétiser les critères légaux fixés par la loi pour les cas de rigueur et que, comme relevé ci-dessus, la recourante ne remplit pas les conditions des art. 30 al. 1 let. b LEI et 31 al. 1 OASA, elle ne saurait se prévaloir de cette opération. 5)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w:t>
      </w:r>
    </w:p>
    <w:p>
      <w:r>
        <w:t>- 15/17 - A/558/2020</w:t>
      </w:r>
    </w:p>
    <w:p>
      <w:r>
        <w:t>b. En l'espèce, rien ne permet de retenir que l'exécution du renvoi de la recourante ne serait pas possible, licite ou raisonnement exigible.</w:t>
      </w:r>
    </w:p>
    <w:p>
      <w:r>
        <w:t>Dans ces circonstances, la décision querellée est conforme au droit.</w:t>
      </w:r>
    </w:p>
    <w:p>
      <w:r>
        <w:t>Mal fondé, le recours sera donc rejeté. 6)</w:t>
      </w:r>
    </w:p>
    <w:p>
      <w:r>
        <w:t>Vu l'issue du litige, un émolument de CHF 400.- sera mis à la charge de la recourante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