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ATA/576/2017 vom 23. Mai 2017</w:t>
      </w:r>
    </w:p>
    <w:p>
      <w:r>
        <w:t>GE Cour de justice, 2017-05-23, FR</w:t>
      </w:r>
    </w:p>
    <w:p>
      <w:r>
        <w:rPr>
          <w:b/>
        </w:rPr>
        <w:t xml:space="preserve">Quelle: </w:t>
      </w:r>
      <w:r>
        <w:t>https://mcp.opencaselaw.ch/entscheid/ge_gerichte_ATA_576_2017</w:t>
      </w:r>
    </w:p>
    <w:p>
      <w:r>
        <w:t>FR: GE_GERICHTE ATA/576/2017 du 23 mai 2017</w:t>
      </w:r>
    </w:p>
    <w:p>
      <w:r>
        <w:t>IT: GE_GERICHTE ATA/576/2017 del 23 maggio 2017</w:t>
      </w:r>
    </w:p>
    <w:p>
      <w:pPr>
        <w:pStyle w:val="Heading2"/>
      </w:pPr>
      <w:r>
        <w:t>Regeste</w:t>
      </w:r>
    </w:p>
    <w:p>
      <w:r>
        <w:t>Résumé: Examen du droit à la transmission d'une lettre adressée par un avocat au Conseil d'État sous l'angle du droit à la transparence et des exception liées au secret professionnel et à la protection des données personnelles de tiers ainsi qu'aux atteintes à la sphère privée ou familiale. Accès refusé, le document contenant des éléments dont la divulgation serait susceptible de porter une atteinte notable à la sphère privée et familiale de tiers. Question laissée ouverte de savoir si la transmission rendrait également inopérantes les restrictions d'accès prévues par les lois régissant les procédures judiciaires et administratives.</w:t>
      </w:r>
    </w:p>
    <w:p>
      <w:pPr>
        <w:pStyle w:val="Heading2"/>
      </w:pPr>
      <w:r>
        <w:t>Erwägungen</w:t>
      </w:r>
    </w:p>
    <w:p>
      <w:r>
        <w:rPr>
          <w:b/>
        </w:rPr>
        <w:t>E. 12</w:t>
      </w:r>
    </w:p>
    <w:p>
      <w:r>
        <w:t>septembre 1985 - LPA - E 5 10). 2)</w:t>
      </w:r>
    </w:p>
    <w:p>
      <w:r>
        <w:t>Le recourant souhaite obtenir la transmission d’un courrier envoyé le 5 juin 2014 par Me B______ au Conseil d’État en se fondant sur la loi sur l’information du public, l’accès aux documents et la protection des données personnelles du 5 octobre 2001 (LIPAD - A 2 08). 3) a. La LIPAD régit à la fois l’information relative aux activités des institutions et la protection des données personnelles (art. 1 al. 1 LIPAD). Elle poursuit deux objectifs, à savoir, d’une part, favoriser la libre formation de l’opinion et la</w:t>
      </w:r>
    </w:p>
    <w:p>
      <w:r>
        <w:t>- 4/8 - A/4317/2015 participation à la vie publique ainsi que, d’autre part, protéger les droits fondamentaux des personnes physiques ou morales de droit privé quant aux données personnelles les concernant (art. 1 al. 2 let. a et b LIPAD).</w:t>
      </w:r>
    </w:p>
    <w:p>
      <w:r>
        <w:t>b. En édictant cette loi, le législateur genevois a renversé le principe du secret assorti d’exceptions prévalant jusqu’alors dans l’administration genevoise, au profit de celui de la transparence sous réserve de dérogations (MGC 2000 45/VIII 7641 p. 7675 ss ; MGC 2001 49/X 9676 p. 9679 ss). Il a érigé la transparence au rang de principe aux fins de renforcer tant la démocratie que le contrôle de l’administration et de valoriser l’activité étatique et favoriser la mise en œuvre des politiques publiques (MGC 2000 45/VIII 7641 p. 7671 ss).</w:t>
      </w:r>
    </w:p>
    <w:p>
      <w:r>
        <w:t>Le principe de transparence est un élément indissociable du principe démocratique et de l’État de droit prévenant notamment des dysfonctionnements et assurant au citoyen une libre formation de sa volonté politique (ATA/1060/2015 du 6 octobre 2015 consid. 3 et les références citées). Ce droit trouve depuis 2013 une assise constitutionnelle à l’art. 28 al. 2 de la Constitution de la République et canton de Genève du 14 octobre 2012 (Cst-GE - A 2 00).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w:t>
      </w:r>
    </w:p>
    <w:p>
      <w:r>
        <w:t>c. Selon l’art. 24 LIPAD, toute personne, physique ou morale, a accès aux documents en possession des institutions, sauf exception prévue ou réservée par cette loi (art. 24 al. 1 LIPAD). L’accès comprend la consultation sur place des documents et l’obtention de copies des documents (art. 24 al. 2 LIPAD).</w:t>
      </w:r>
    </w:p>
    <w:p>
      <w:r>
        <w:t>Par document, la LIPAD entend tous les supports d’informations détenus par une institution contenant des renseignements relatifs à l’accomplissement d’une tâche publique. Sont notamment des documents les messages, rapports, études, procès-verbaux, statistiques, registres, correspondances, directives, prises de position, préavis ou décisions, ainsi que les documents pouvant être établis sur la base d’informations existantes par un traitement informatisé simple. Les notes à usage personnel ainsi que les brouillons ou autres textes inachevés ne constituent pas des documents (art. 25 LIPAD).</w:t>
      </w:r>
    </w:p>
    <w:p>
      <w:r>
        <w:t>Les communications reçues par l’institution font également partie des documents au sens de la LIPAD (MGC 2000 45/VIII, 7641-7714, p. 7693).</w:t>
      </w:r>
    </w:p>
    <w:p>
      <w:r>
        <w:t>En l’espèce, il n’est pas contesté par les parties que le courrier litigieux constitue un document au sens de la LIPAD.</w:t>
      </w:r>
    </w:p>
    <w:p>
      <w:r>
        <w:t>- 5/8 - A/4317/2015 4) a. En dérogation à ce principe de transparence, sont toutefois soustraits au droit d’accès les documents à la communication desquels un intérêt public ou privé prépondérant s’oppose (art. 26 al. 1 LIPAD). La loi prévoit à l’al. 2 let. a à l de l’art. 26 LIPAD, les cas où, notamment, cet accès doit être refusé. Cette énumération n’est pas exhaustive mais correspond aux exceptions qui « constituent des clauses de sauvegarde suffisante pour les informations qui ne doivent pas être portées à la connaissance du public » (cf. MGC 2000 45/VIII 7641-7714, p. 7691).</w:t>
      </w:r>
    </w:p>
    <w:p>
      <w:r>
        <w:t>C’est le cas par exemple lorsque cet accès est propre à rendre inopérantes les restrictions légales à la communication de données personnelles à des tiers (let. f), porter atteinte à la sphère privée ou familiale (let. g) ou à révéler des informations couvertes par des secrets professionnels, de fabrication ou d’affaires, le secret fiscal, le secret bancaire ou le secret statistique (art. 26 let. i LIPAD). Sont également exclus du droit d’accès les documents à la communication desquels le droit fédéral ou une loi cantonale fait obstacle (art. 26 al. 4 LIPAD).</w:t>
      </w:r>
    </w:p>
    <w:p>
      <w:r>
        <w:t>b. S’agissant de l’exception liée au secret professionnel retenu par l’intimé pour refuser l’accès du document au recourant, l'avocat y est soumis pour toutes les affaires qui lui sont confiées par ses clients dans l'exercice de sa profession ; cette obligation n'est pas limitée dans le temps et est applicable à l'égard des tiers. Le fait d'être délié du secret professionnel n'oblige pas l'avocat à divulguer des faits qui lui ont été confiés. Il veille à ce que ses auxiliaires respectent le secret professionnel (art. 13 de la loi fédérale sur la libre circulation des avocats du 23 juin 2000 (LLCA - RS 935.61). Cette obligation est rappelée à l’art. 12 al. 1 de la loi sur la profession d’avocat du 26 avril 2002 (LPAv - E 6 10). Elle est susceptible de sanctions disciplinaires et sa violation est sanctionnée pénalement par l’art. 321 du Code pénal suisse du 21 décembre 1937 (CP - RS 311.0).</w:t>
      </w:r>
    </w:p>
    <w:p>
      <w:r>
        <w:t>Cependant, la correspondance d’un avocat avec les autorités, dans le cadre d’un mandat donné par son client, n’est pas couverte par le secret professionnel comme le serait en revanche une correspondance entre l’avocat et son client qui est couverte par le secret de l’avocat indépendamment du lieu dans lequel elle se trouve (Pascal MAURER/Jean-Pierre GROSS, Loi sur les avocats, commentaire romand, Michel VALTICOS, Christian REISER, Benoît CHAPPUIS [éd.], 2010, ad. art. 13, n. 230 et 249).</w:t>
      </w:r>
    </w:p>
    <w:p>
      <w:r>
        <w:t>En conséquence, le refus d’accès sur la base du secret professionnel de l’avocat n’est donc pas fondé, le Conseil d’État n’étant pas lui-même lié par ce secret réservé aux avocats dans l’exercice de leur profession. 5)</w:t>
      </w:r>
    </w:p>
    <w:p>
      <w:r>
        <w:t>L’intimé fonde également le refus d’accès sur l’interdiction de divulguer des éléments qui porteraient atteinte à la sphère privée ou familiale et qui reviendraient à transmettre des données personnelles à des tiers (art. 26 al. 2 let. f et g LIPAD).</w:t>
      </w:r>
    </w:p>
    <w:p>
      <w:r>
        <w:t>- 6/8 - A/4317/2015</w:t>
      </w:r>
    </w:p>
    <w:p>
      <w:r>
        <w:t>a. Sont soustraits au droit d’accès les documents qui sont propres à rendre inopérantes les restrictions au droit d’accès à des dossiers qu’apportent les lois régissant les procédures judiciaires et administratives (art. 26 al. 2 let. e LIPAD), rendre inopérantes les restrictions légales à la communication de données personnelles – soit toutes les informations se rapportant à une personne physique ou morale de droit privé identifiée ou identifiable (art. 4 let. a LIPAD) – à des tiers (art. 26 al. 2 let. f LIPAD), ou porter atteinte à la sphère privée ou familiale (art. 26 al. 2 let. g LIPAD).</w:t>
      </w:r>
    </w:p>
    <w:p>
      <w:r>
        <w:t>b. L’exception au droit d’accès prévue à l’art. 26 al. 2 let. f LIPAD vise à ce que l’accès aux documents ne rende pas inopérantes les restrictions légales à la communication de données personnelles à des tiers. Ces restrictions légales-ci sont prévues à l’art. 39 LIPAD (ATA/758/2015 du 28 juillet 2015).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w:t>
      </w:r>
    </w:p>
    <w:p>
      <w:r>
        <w:t>c. La seule révélation d’un fait appartenant à la sphère privée constitue une atteinte à la personnalité que l’art. 28 du Code civil suisse du 10 décembre 1907 (CC - RS 210) protège (arrêt du Tribunal fédéral 1C_379/2014 du 29 janvier 2015 consid. 7 ; Andreas BUCHER, Personnes physiques et protection de la personnalité, 2009, p. 99). Dans le cadre de l’art. 26 al. 2 let. g LIPAD, l’exception au droit d’accès aux documents est réalisée lorsque celui-ci implique une atteinte notable à la sphère privée d’administrés ou d’institutions. Il n’exclut pas automatiquement l’accès à tout document concernant la sphère privée d’un tiers mais exige une pesée des intérêts en présence (ATA/758/2015 précité ; MGC 2000 45/VIII 7641 p. 7697).</w:t>
      </w:r>
    </w:p>
    <w:p>
      <w:r>
        <w:t>En l’espèce, le courrier litigieux contient, selon le contenu qu’en a présenté l’avocat devant le Grand Conseil, des informations précises concernant des « dérives » liées à des procédures judiciaires et des demandes de règlement et de réparation. Le courrier contient un exposé de faits détaillé impliquant de nombreux tiers. Ces éléments sont de nature à porter une atteinte notable à la sphère privée et familiale qui est protégée par les exceptions au droit d’accès.</w:t>
      </w:r>
    </w:p>
    <w:p>
      <w:r>
        <w:t>Ainsi, l’intérêt à la protection de cette sphère s’avère supérieur à celui à la transparence. À ceci s’ajoute que, dans la mesure où ceci serait pertinent, le recourant ne fait valoir aucun intérêt privé qui permettrait d’avoir une autre appréciation.</w:t>
      </w:r>
    </w:p>
    <w:p>
      <w:r>
        <w:t>- 7/8 - A/4317/2015</w:t>
      </w:r>
    </w:p>
    <w:p>
      <w:r>
        <w:t>Point n’est donc besoin de procéder à la pesée des intérêts prévue à l’art. 39 al. 9 LIPAD, ni à l’examen de la possibilité d’un accès partiel au sens de l’art. 27 LIPAD (ATA/213/2016 du 8 mars 2016).</w:t>
      </w:r>
    </w:p>
    <w:p>
      <w:r>
        <w:t>En conséquence, c’est à juste titre que le Conseil d’État a refusé la transmission intégrale au recourant du courrier du 5 juin 2014 reçu de Me B______. Il n’est ainsi pas nécessaire d’examiner si sa transmission rendrait également inopérantes les restrictions d’accès au dossier prévues par les lois régissant les procédures judiciaires et administratives, dont notamment l’art. 44 LPA qui prévoit que seules les parties et leurs mandataires sont admis à consulter les pièces d’un dossier destinées à servir de fondement à une décision.</w:t>
      </w:r>
    </w:p>
    <w:p>
      <w:r>
        <w:t>6)</w:t>
      </w:r>
    </w:p>
    <w:p>
      <w:r>
        <w:t>Vu ce qui précède, le recours, infondé, sera rejeté.</w:t>
      </w:r>
    </w:p>
    <w:p>
      <w:r>
        <w:t>Un émolument de CHF 1000.- sera mis à la charge du recourant qui succombe (art. 87 al. 1 LPA). Aucune indemnité de procédure ne sera allouée, l’appelé en cause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