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ATA/574/2023 vom 1. Juni 2023</w:t>
      </w:r>
    </w:p>
    <w:p>
      <w:r>
        <w:t>GE Cour de justice, 2023-06-01, FR</w:t>
      </w:r>
    </w:p>
    <w:p>
      <w:r>
        <w:rPr>
          <w:b/>
        </w:rPr>
        <w:t xml:space="preserve">Quelle: </w:t>
      </w:r>
      <w:r>
        <w:t>https://mcp.opencaselaw.ch/entscheid/ge_gerichte_ATA_574_2023</w:t>
      </w:r>
    </w:p>
    <w:p>
      <w:r>
        <w:t>FR: GE_GERICHTE ATA/574/2023 du 1 juin 2023</w:t>
      </w:r>
    </w:p>
    <w:p>
      <w:r>
        <w:t>IT: GE_GERICHTE ATA/574/2023 del 1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10 al. 2 1ère phr. de la loi d'application de la loi fédérale sur les étrangers du 16 juin 1988 (LaLEtr - F 2 10), la chambre administrative doit statuer dans les dix jours qui suivent sa saisine. Ayant reçu le recours le 22 mai 2023 et statuant ce jour, elle respecte ce délai. À teneur dudit art. 10 LaLEtr, elle est compétente pour apprécier l’opportunité des décisions portées devant elle en cette matière (al. 2 2ème phr.) ; elle peut confirmer,</w:t>
      </w:r>
    </w:p>
    <w:p>
      <w:r>
        <w:t>- 10/13 - A/1418/2023 réformer ou annuler la décision attaquée ; le cas échéant, elle ordonne la mise en liberté de l’étranger (al. 3 1ère phr.). 3. Le recourant ne conteste pas que les conditions de la détention administrative, fondée sur l'art. 76 al. 1 let. b ch. 1 LEI, qui renvoie à l'art. 75 al. 1 let. h LEI, sont remplies. Comme l’a relevé le TAPI, celles-ci ont déjà été examinées et confirmées dans ses jugement des 17 novembre 2022 et 8 février 2023, puis l’arrêt de la cambre administrative du 3 mars 2023 et aucune circonstance nouvelle ne nécessite de les réexaminer. En revanche, le recourant se plaint de la violation de l’art. 76 al. 4 LEI et du principe de l’opportunité. 3.1 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3.2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3.3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(ATA/1436/2017 du 27 octobre 2017 consid.6a ; ATA/881/2015 du 28 août 2015 et les références citées).</w:t>
      </w:r>
    </w:p>
    <w:p>
      <w:r>
        <w:t>- 11/13 - A/1418/2023 3.4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3.5 En l’espèce, il ressort du dossier que les autorités helvétiques ont entrepris les démarches nécessaires à l’octroi d’un laissez-passer en faveur du recourant. Le retard que l’établissement de celui-ci a pris ne leur est pas imputable. Selon les renseignements transmis par le SEM, une nouvelle rencontre avec le Consulat général d’B______ est agendée la semaine prochaine, en vue de l’obtention dudit laissez-passer. Le principe de diligence et de célérité a donc été observé. Le fait que le laissez-passer n’ait pas encore été établi ne constitue nullement une circonstance permettant de considérer que l’exécution du renvoi serait impossible. En effet et comme l’a relevé le TAPI, si le recourant entreprenait lui-même les démarches auprès du Consulat d’B______, le laissez-passer serait rapidement établi et son renvoi pourrait être exécuté, de sorte que sa détention prendrait fin. Ainsi, en l’état, il n’existe aucune impossibilité à l’exécution du renvoi au sens de l’art. 80 al. 6 let. a LEI. La question de savoir si, au regard des liens affectifs que le recourant soutient entretenir avec son fils adulte, son ex-épouse et les deux filles adultes de celle-ci devrait justifier l’octroi d’une autorisation de séjour ne ressortit pas à l’objet du litige. Celui-ci est limité au bien-fondé de la détention administrative. En outre et contrairement à ce que le recourant laisse entendre, ces seuls liens, même s’ils étaient établis, ne permettraient pas de considérer que la détention administrative ne respecte pas le principe de la proportionnalité. En effet, le recourant ne s’est conformé à aucune décision de renvoi et se soustrait avec obstination depuis 2006 à son renvoi. Celui-ci a échoué les 23 août 2006, 24 janvier 2013 et 25 mars 2013, en raison de son refus de monter à bord de l’avion devant le ramener en B______. Il persiste à s’opposer à son renvoi. Ainsi, aucune mesure moins incisive que la détention administrative ne paraît apte à assurer sa présence lorsque le laissez-passer sera établi par les autorités consulaires B______ et une place réservée sur un vol à destination de l’B______. L’exécution de son renvoi répond à un intérêt public certain, l’intéressé ayant commis des crimes en Suisse et ne respectant pas les décisions de renvoi et d’interdiction d’entrée rendues par les autorités suisses. L’opportunité de son maintien en détention administrative en vue de l’exécution des décisions de renvoi</w:t>
      </w:r>
    </w:p>
    <w:p>
      <w:r>
        <w:t>- 12/13 - A/1418/2023 ne fait ainsi pas de doute. Pour le surplus et comme déjà évoqué, il est loisible au recourant de requérir un laissez-passer aux autorités de son pays et de contribuer ainsi, au travers de l’exécution de son renvoi, à sa propre mise en liberté. Par ailleurs, son récent transfert de J______ à Genève tient dûment compte de la demande de ses proches de pouvoir lui rendre visite pendant sa détention administrative. Enfin, la durée de celle-ci jusqu’au 13 août 2023 reste compatible avec le cadre légal, soit l’art. 79 LEI. Mal fondé, le recours sera donc rejeté. 4. La procédure étant gratuite, aucun émolument ne sera perçu.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