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ATA/574/2012 vom 28. August 2012</w:t>
      </w:r>
    </w:p>
    <w:p>
      <w:r>
        <w:t>GE Cour de justice, 2012-08-28, FR</w:t>
      </w:r>
    </w:p>
    <w:p>
      <w:r>
        <w:rPr>
          <w:b/>
        </w:rPr>
        <w:t xml:space="preserve">Quelle: </w:t>
      </w:r>
      <w:r>
        <w:t>https://mcp.opencaselaw.ch/entscheid/ge_gerichte_ATA_574_2012</w:t>
      </w:r>
    </w:p>
    <w:p>
      <w:r>
        <w:t>FR: GE_GERICHTE ATA/574/2012 du 28 août 2012</w:t>
      </w:r>
    </w:p>
    <w:p>
      <w:r>
        <w:t>IT: GE_GERICHTE ATA/574/2012 del 28 agosto 2012</w:t>
      </w:r>
    </w:p>
    <w:p>
      <w:pPr>
        <w:pStyle w:val="Heading2"/>
      </w:pPr>
      <w:r>
        <w:t>Erwägungen</w:t>
      </w:r>
    </w:p>
    <w:p>
      <w:r>
        <w:rPr>
          <w:b/>
        </w:rPr>
        <w:t>E. 12</w:t>
      </w:r>
    </w:p>
    <w:p>
      <w:r>
        <w:t>septembre 1985 - LPA - E 5 10).</w:t>
      </w:r>
    </w:p>
    <w:p>
      <w:r>
        <w:t>- 8/13 - A/3334/2010 2)</w:t>
      </w:r>
    </w:p>
    <w:p>
      <w:r>
        <w:t>La recourante conteste la reprise de CHF 34'417.- effectuée par l'autorité intimée, au motif que les conditions d'une prestation appréciable en argent en faveur d'un tiers ne sont pas remplies. 3)</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(ATF 92 I 253 consid. 2 p. 256/257 ; E. BLUMENSTEIN/P. LOCHER, System des schweizerischen Steuerrechts, 6e éd., 2002, p. 416 et les références citées). Par ailleurs, le contribuable doit prouver l'exactitude de sa déclaration d'impôts et de ses explications ultérieures ; on ne peut pas demander au contribuable de prouver un fait négatif, par exemple qu'il n'a pas d'autres revenus que ceux annoncés (J.-M. RIVIER, Droit fiscal suisse, L'imposition du revenu et de la fortune, 2e éd.,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du Tribunal fédéral 2C_47/2009 du 26 mai 2009, consid. 5.4 et 2A.105/2007 du 3 septembre 2007, consid. 4.4, in RDAF 2007 II p. 299 ; voir également D. SCHÄR, Normentheorie und mitwirkungsorientierte Beweislastverteilung in gemischten Steuerverfahren, Archives 67 p. 433 ss, en particulier p. 448).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(Arrêt du Tribunal fédéral 2C_76/2009 du 23 juillet 2009 et les références citées). 4)</w:t>
      </w:r>
    </w:p>
    <w:p>
      <w:r>
        <w:t>L'art.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5) a.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w:t>
      </w:r>
    </w:p>
    <w:p>
      <w:r>
        <w:t>b. L’imposition des personnes morales au titre de l’impôt cantonal est régie par la LIPM.</w:t>
      </w:r>
    </w:p>
    <w:p>
      <w:r>
        <w:t>- 9/13 - A/3334/2010</w:t>
      </w:r>
    </w:p>
    <w:p>
      <w:r>
        <w:t>L’impôt sur le bénéfice a pour objet le bénéfice net (art. 11 LIPM). Aux termes de l'art. 12 LIPM, sont notamment considérés comme bénéfice net imposable, le bénéfice net tel qu’il résulte du compte de profits et de pertes (art. 12 let. a LIPM) ainsi que les allocations volontaires à des tiers et les prestations de toute nature fournies gratuitement à des tiers ou à des actionnaires de la société (art. 12 let. h LIPM).</w:t>
      </w:r>
    </w:p>
    <w:p>
      <w:r>
        <w:t>c. Le Tribunal fédéral a admis que, malgré une rédaction différente, l'art. 12 let. h LIPM est conforme à l'art. 24 al. 1 let. a LHID (Arrêt du Tribunal fédéral 2C_188/2008 du 19 août 2008, consid. 5.1). 6) a. Les prestations appréciables en argent peuvent apparaître de diverses façons, et les distributions dissimulées de bénéfice consistent en une prestation affectant un compte de charge ou un compte produit, un transfert d’actif à la valeur comptable inférieure à la valeur vénale ou la comptabilisation d’une non-valeur (ATA/684/2010 du 5 octobre 2010). Un prêt sans intérêt constitue une prestation appréciable en argent (Arrêt du Tribunal fédéral 2A.145/2005 du 30 janvier 2006 consid. 9.3).</w:t>
      </w:r>
    </w:p>
    <w:p>
      <w:r>
        <w:t>Dans ses lettres circulaires des 1er février et 3 avril 2008, respectivement sur les « taux d'intérêt 2008 déterminants pour le calcul des prestations appréciables en argent » et les « taux d'intérêt 2008 admis fiscalement sur les avances ou les prêts en monnaies étrangères », l'AFC-CH a rappelé que « lorsqu'une société accorde des avances ou des prêts sans intérêt ou contre un intérêt insuffisant à ses actionnaires ou associés, ou à des personnes qui leur sont proches, elle leur concède une prestation appréciable en argent ».</w:t>
      </w:r>
    </w:p>
    <w:p>
      <w:r>
        <w:t>b. Selon la jurisprudence,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et la disproportion entre la prestation et la contre-prestation est manifeste, de telle sorte que les organes de la société auraient pu se rendre compte de l’avantage qu’ils accordaient (ATA/21/2005 du 18 janvier 2005 ; X. OBERSON, Droit fiscal suisse, 3e éd., 2007, p. 197 n. 33 et les références citées).</w:t>
      </w:r>
    </w:p>
    <w:p>
      <w:r>
        <w:t>c.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du Tribunal fédéral 2C_275/2010 du 24 août 2010).</w:t>
      </w:r>
    </w:p>
    <w:p>
      <w:r>
        <w:t>- 10/13 - A/3334/2010</w:t>
      </w:r>
    </w:p>
    <w:p>
      <w:r>
        <w:t>d. En présence d'une prestation appréciable en argent, les conséquences fiscales seront multiples. Le fisc réintégrera la prestation dans les bénéfices imposables de la société (X. OBERSON, op. cit., p. 196-197, nos 31 et 35). 7)</w:t>
      </w:r>
    </w:p>
    <w:p>
      <w:r>
        <w:t>En l'espèce, la question est de savoir si l'absence de rémunération du préfinancement de USD 14'000'000.-, qualifié d'avance à un proche, consiste en une prestation appréciable en argent au sens des dispositions légales et de la jurisprudence. L’autorité de taxation considère ce versement comme un avantage concédé à l'actionnaire tandis que la société allègue qu'elle découle de l'usage commercial, compte tenu de la résiliation du contrat du 11 novembre 2008.</w:t>
      </w:r>
    </w:p>
    <w:p>
      <w:r>
        <w:t>Il n'est pas contesté que la cocontractante et actionnaire de la recourante n'a versé à cette dernière aucun intérêt sur la somme de CHF 14'000'000.-, laquelle lui a été mise à disposition du 18 novembre au 30 décembre 2008, soit pendant quarante-deux jours. De plus, la recourante a elle-même supporté tous les frais relatifs à la conclusion du contrat, à savoir la commission de USD 14'000.- prélevée par la banque et la prime d'assurance de USD 15'680.-.</w:t>
      </w:r>
    </w:p>
    <w:p>
      <w:r>
        <w:t>A cela s'ajoute que le préfinancement de USD 14'000'000.- a été versé en totalité, quelques jours seulement après la conclusion du contrat, alors que ledit document prévoyait comme dernière date de paiement le 1er mars 2009. La recourante n'avait donc pas l'obligation de mettre à disposition aussi rapidement une telle somme. En outre, les différents achats d'huile de tournesol non raffinée effectués de novembre à décembre 2008 par la recourante démontrent que celle-ci n'a pas hésité à se fournir ailleurs à un prix plus élevé, alors qu'elle disposait de marchandise stockée et payée.</w:t>
      </w:r>
    </w:p>
    <w:p>
      <w:r>
        <w:t>Au vu de ce qui précède, l'inexécution du contrat du 11 novembre 2008 a manifestement enrichi la société actionnaire, tandis qu'elle a appauvri la recourante sans contre-prestation.</w:t>
      </w:r>
    </w:p>
    <w:p>
      <w:r>
        <w:t>Pour ces motifs, le grief doit être écarté, et la reprise des intérêts en tant qu'avance faite à un proche, confirmée. 8)</w:t>
      </w:r>
    </w:p>
    <w:p>
      <w:r>
        <w:t>Subsidiairement, la recourante conteste les taux d'intérêt et de change appliqués par la CCRA et le TAPI pour déterminer la reprise d'intérêts comme avance à un proche. 9)</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ATA/439/2009 du 8 septembre 2009 et les références citées).</w:t>
      </w:r>
    </w:p>
    <w:p>
      <w:r>
        <w:t>- 11/13 - A/3334/2010</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(ATA/69/2012 du 31 janvier 2012). 10) Selon la lettre circulaire du 3 avril 2008 de l'AFC-CH sur les « taux d'intérêt 2008 admis fiscalement sur les avances ou les prêts en monnaies étrangères », « si la société ou coopérative rémunère les engagements qu'elle a pris, les taux applicables aux avances et aux prêts aux actionnaires, associés ou à des tiers qui leur sont proches, doivent correspondre à ceux servis sur ces engagements augmentés d'une marge de ½ % ; les taux appliqués doivent cependant correspondre au minimum à ceux publiés dans les tableaux ».</w:t>
      </w:r>
    </w:p>
    <w:p>
      <w:r>
        <w:t>En l'occurrence, la somme mise à disposition était effectivement libellée en monnaie étrangère, puisqu'il s'agissait d'un montant de USD 14'000'000.-. Le taux d'intérêt applicable devait donc être augmenté de ½ % tel qu'en dispose la lettre circulaire de l'AFC-CH précitée, dont il n'est pas allégué qu'elle ne respecterait pas le sens ou le but de la loi. En outre, dans ses comptes au 30 novembre 2008, la contribuable a elle-même converti le préfinancement en cause à hauteur de CHF 17'010'000.-.</w:t>
      </w:r>
    </w:p>
    <w:p>
      <w:r>
        <w:t>Il s'ensuit que le montant de la reprise au titre d'intérêts sur avance à un proche a été correctement calculé à CHF 34'417.-, le taux d'intérêt appliqué par la banque n'étant pas contesté.</w:t>
      </w:r>
    </w:p>
    <w:p>
      <w:r>
        <w:t>En conséquence, ce dernier grief sera écarté et le recours, rejeté. 11) Un émolument de CHF 1'000.- sera mis à la charge de la recourante, qui succombe (art. 87 LPA). Vu l'issue du litige, aucune indemnité de procédure ne lui sera allouée (art. 87 al. 2 LPA).</w:t>
      </w:r>
    </w:p>
    <w:p>
      <w:r>
        <w:t>* * * * *</w:t>
      </w:r>
    </w:p>
    <w:p>
      <w:r>
        <w:t>- 12/13 - A/3334/2010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