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ATA/571/2010 vom 31. August 2010</w:t>
      </w:r>
    </w:p>
    <w:p>
      <w:r>
        <w:t>GE Cour de justice, 2010-08-31, FR</w:t>
      </w:r>
    </w:p>
    <w:p>
      <w:r>
        <w:rPr>
          <w:b/>
        </w:rPr>
        <w:t xml:space="preserve">Quelle: </w:t>
      </w:r>
      <w:r>
        <w:t>https://mcp.opencaselaw.ch/entscheid/ge_gerichte_ATA_571_2010</w:t>
      </w:r>
    </w:p>
    <w:p>
      <w:r>
        <w:t>FR: GE_GERICHTE ATA/571/2010 du 31 août 2010</w:t>
      </w:r>
    </w:p>
    <w:p>
      <w:r>
        <w:t>IT: GE_GERICHTE ATA/571/2010 del 31 agosto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recourante conteste l’assujettissement des travaux litigieux à la loi sur les démolitions, transformations et rénovations de maisons d’habitation (mesures de soutien en faveur des locataires et de l'emploi) du 25 janvier 1996 (LDTR - L 5 20).</w:t>
      </w:r>
    </w:p>
    <w:p>
      <w:r>
        <w:rPr>
          <w:b/>
        </w:rPr>
        <w:t>E. 3</w:t>
      </w:r>
    </w:p>
    <w:p>
      <w:r>
        <w:t>a. 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t>b. Selon l'art. 3 al. 1 let.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w:t>
      </w:r>
    </w:p>
    <w:p>
      <w:r>
        <w:t>- 8/13 - A/2778/2009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w:t>
      </w:r>
    </w:p>
    <w:p>
      <w:r>
        <w:t>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PAYCHÈRE/O. BINDSCHEDLER, La jurisprudence récente du Tribunal administratif du Canton de Genève en matière d'entretien des immeubles, RDAF 1998, p. 368).</w:t>
      </w:r>
    </w:p>
    <w:p>
      <w:r>
        <w:rPr>
          <w:b/>
        </w:rPr>
        <w:t>E. 4</w:t>
      </w:r>
    </w:p>
    <w:p>
      <w:r>
        <w:t>De jurisprudence constante il est admis, s’agissant de la distinction entre travaux d’entretien et de rénovation (ou transformation) consacrés à l’art. 3 LDTR, de tenir un raisonnement en deux temps, à savoir :</w:t>
      </w:r>
    </w:p>
    <w:p>
      <w:r>
        <w:t>-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MAUNOIR, La nouvelle LDTR au regard de la jurisprudence, in RDAF 1996 p. 314 et la jurisprudence citée),</w:t>
      </w:r>
    </w:p>
    <w:p>
      <w:r>
        <w:t>- puis s'attacher ensuite à l’ampleur et, partant, au coût desdits travaux et à leur répercussion sur le montant du loyer, dès lors qu’il pourrait en résulter un changement d’affectation qualitatif des logements, au risque que ces derniers ne répondent plus aux besoins prépondérants de la population (ATA/258/ 2010 du 20 avril 2010 et réf. cit.).</w:t>
      </w:r>
    </w:p>
    <w:p>
      <w:r>
        <w:rPr>
          <w:b/>
        </w:rPr>
        <w:t>E. 5</w:t>
      </w:r>
    </w:p>
    <w:p>
      <w:r>
        <w:t>Un logement correspond en principe par son genre ou par son loyer aux besoins prépondérants de la population lorsque son loyer est compris entre CHF 2'503.- et CHF 3'363.- la pièce par année (Arrêté du Conseil d'Etat du 21 juin 2006 relatif à la révision des loyers répondant aux besoins prépondérants de la population, publié dans la FAO du 30 juin 2006, auquel renvoie l'art. 6 al. 3 LDTR) ou lorsque ce logement entre dans la catégorie des appartements dans lesquels règne la pénurie au sens de l’art. 25 LDTR. Selon l'arrêté déterminant au</w:t>
      </w:r>
    </w:p>
    <w:p>
      <w:r>
        <w:t>- 9/13 - A/2778/2009 moment des faits, comme selon celui actuellement en vigueur (Arrêté déterminant les catégories d’appartements où sévit la pénurie en vue de l’application des art. 25 à 39 de la loi sur les démolitions, transformations et rénovations de maisons d’habitation du 4 février 2009 - ArAppart - L 5 20.03 ), il y a pénurie dans toutes les catégories d'appartements de une à sept pièces inclusivement.</w:t>
      </w:r>
    </w:p>
    <w:p>
      <w:r>
        <w:rPr>
          <w:b/>
        </w:rPr>
        <w:t>E. 6</w:t>
      </w:r>
    </w:p>
    <w:p>
      <w:r>
        <w:t>Selon la jurisprudence bien établie du tribunal de céans, ont été considérés comme relevant de l’entretien au regard de leur nature, l’installation de nouveaux sanitaires, l’agencement des cuisines, la mise en conformité de l’installation électrique, la pose de nouveaux revêtements des sols et des parois, ainsi que des travaux de peinture et de serrurerie (ATA/40/2010 du 26 janvier 2010 et les réf. citées).</w:t>
      </w:r>
    </w:p>
    <w:p>
      <w:r>
        <w:t>Il convient toutefois de tenir compte également des circonstances dans lesquelles les travaux sont accomplis et notamment de leur accumulation en raison d'un défaut d'entretien courant des bâtiments concernés (ATA/688/2002 du 12 novembre 2002 ; ATA/34/1998 du 27 janvier 1998).</w:t>
      </w:r>
    </w:p>
    <w:p>
      <w:r>
        <w:t>Des travaux d'entretien différés dans le temps dont le coût a eu des conséquences importantes sur les loyers, lesquels ne répondent plus aux besoins prépondérants de la population, ont ainsi été jugés comme devant être soumis à autorisation; ces coûts étaient respectivement de CHF 38'213.- pour un appartement de 3,5 pièces (ATA/278/2006 du 16 mai 2006) ; CHF 79'359.- pour un 6,5 pièces (ATA/751/2004 du 28 septembre 2004) ; CHF 44'000.- pour un 4 pièces (ATA/659/2004 du 24 août 2004) ; CHF 49'874.- pour un 4 pièces (ATA/618/2004 du 5 août 2004) ; CHF 66'345.- pour un 4 pièces (ATA/802/2001 du 4 décembre 2001) ; de CHF 40'196.- pour un 4 pièces, CHF 23'422.- pour un 3 pièces et CHF 20'366.- pour un 4 pièces (ATA/365/2001 du 29 mai 2001) ; de CHF 10'650.- pour un 3 pièces, CHF 31'830.- pour un 2 pièces, CHF 31'530.- pour un 2 pièces, CHF 9'050.- pour un 3 pièces (ATA/261/2001 du 24 avril 2001).</w:t>
      </w:r>
    </w:p>
    <w:p>
      <w:r>
        <w:rPr>
          <w:b/>
        </w:rPr>
        <w:t>E. 7</w:t>
      </w:r>
    </w:p>
    <w:p>
      <w:r>
        <w:t>Lorsque les travaux sont déjà soumis à la LDTR, uniquement en raison de leur coût important, le fait que ceux-ci n'aient pas eu d'incidence majeure sur les loyers n'est plus déterminant. Dans une telle hypothèse, c'est bien le montant payé par le propriétaire qui importe et non la manière dont il le répercute sur les loyers (ATA/502/2007 du 9 octobre 2007 ; ATA/370/2005 du 24 mai 2005).</w:t>
      </w:r>
    </w:p>
    <w:p>
      <w:r>
        <w:rPr>
          <w:b/>
        </w:rPr>
        <w:t>E. 8</w:t>
      </w:r>
    </w:p>
    <w:p>
      <w:r>
        <w:t>juin 2004 (ATA/522/2004) ne résiste pas à l’analyse.</w:t>
      </w:r>
    </w:p>
    <w:p>
      <w:r>
        <w:t>En effet, si elle présente une certaine similitude avec la cause ayant fait l’objet de l’ATA/358/2008, la présente affaire s’en distance cependant considérablement. Hormis la nature des travaux sensiblement similaires, et le fait que dans les deux cas il s’agit d’un appartement de 5 pièces, dans le cas alors jugé par le Tribunal administratif, une partie des travaux avait été ordonnée par la SI propriétaire alors qu’une autre partie avait été commandée et payée par la locataire elle-même. Le montant total des travaux s’élevait alors à CHF 41’000.-, soit largement inférieur au coût présentement discuté. Le loyer annuel passait de CHF 22’000.-, soit CHF 4’400.- la pièce, avant travaux à CHF 26’200.-, soit CHF 7’200.- la pièce après travaux, alors que dans le cas d’espèce, outre que le montant des travaux est sensiblement plus élevé (CHF 71’750.-), le montant du loyer annuel a passé de CHF 12’780.-, soit CHF 2’556.- la pièce à CHF 24’200.- soit CHF 5’040.- la pièce. Cette augmentation de 97 % est assurément importante et de plus, alors que le logement correspondait précisément aux besoins prépondérants de la population avant travaux, il ne l’est plus.</w:t>
      </w:r>
    </w:p>
    <w:p>
      <w:r>
        <w:t>Quant à la seconde jurisprudence citée par la recourante (ATA/552/2004), il s’agissait d’un appartement de 4 pièces dans lequel des travaux certes de même nature avaient été effectués, mais pour un montant de CHF 25’718.-. Le tribunal de céans a retenu, s’agissant de travaux qui pouvaient être qualifiés de modestes, qu’il n’y avait pas lieu de les soumettre à la LDTR.</w:t>
      </w:r>
    </w:p>
    <w:p>
      <w:r>
        <w:t>En conclusion de ce qui précède, c’est à juste titre que le département, estimant que les travaux effectués par la SI relevaient de la LDTR, a ordonné le dépôt d’une requête en autorisation de construire.</w:t>
      </w:r>
    </w:p>
    <w:p>
      <w:r>
        <w:rPr>
          <w:b/>
        </w:rPr>
        <w:t>E. 9</w:t>
      </w:r>
    </w:p>
    <w:p>
      <w:r>
        <w:t>Le département fixe, comme condition de l’autorisation, le montant maximum des loyers des logements après travaux (art. 10 al. 1 LDTR). Il renonce à cette condition lorsque cette mesure apparaît disproportionnée, notamment lorsque les logements à transformer sont des logements de luxe ou que leurs loyers dépassent d'ores et déjà d'au moins deux fois et demie les besoins prépondérants de la population (art. 10 al. 2 let. b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11 al. 3 LDTR).</w:t>
      </w:r>
    </w:p>
    <w:p>
      <w:r>
        <w:t>- 11/13 - A/2778/2009</w:t>
      </w:r>
    </w:p>
    <w:p>
      <w:r>
        <w:t>La durée du contrôle est de trois ans pour les immeubles transformés ou rénovés. Elle peut être portée à cinq ans en cas de transformation lourde (art. 12 LDTR).</w:t>
      </w:r>
    </w:p>
    <w:p>
      <w:r>
        <w:t>Il appartiendra donc au département de fixer comme condition de l’autorisation le montant maximum du loyer du logement considéré.</w:t>
      </w:r>
    </w:p>
    <w:p>
      <w:r>
        <w:rPr>
          <w:b/>
        </w:rPr>
        <w:t>E. 10</w:t>
      </w:r>
    </w:p>
    <w:p>
      <w:r>
        <w:t>Conformément à l’art. 137 al. 1 LCI, en relation avec l’art. 44 al. 1 LDTR, est passible d’une amende administrative de CHF 100.- à CHF 60'000.- tout contrevenant à la LCI et à la LDTR. Le montant maximum de l’amende s’élève à CHF 20'000.- lorsqu’une construction, une installation ou tout autre ouvrage a été entrepris sans autorisation, mais que les travaux sont conformes aux prescriptions légales (art. 137 al. 2 LCI). Il est tenu compte, dans la fixation de l’amende, du degré de gravité de l’infraction (art. 137 al. 3 LCI).</w:t>
      </w:r>
    </w:p>
    <w:p>
      <w:r>
        <w:rPr>
          <w:b/>
        </w:rPr>
        <w:t>E. 11</w:t>
      </w:r>
    </w:p>
    <w:p>
      <w:r>
        <w:t>a. Les amendes administratives sont de nature pénale. Aucun critère ne permet en effet de les distinguer clairement des amendes ordinaires pour lesquelles la compétence administrative de première instance peut, au demeurant, aussi exister (ATA/86/2006 du 14 février 2006 ; ATA/362/2005 du 24 mai 2005 ; P. MOOR, Droit administratif : les actes administratifs et leur contrôle, vol. 2, 2ème édition, Berne 2002, ch. 1.4.5.5, pp. 139-141 ; P. NOLL/S. TRECHSEL, Schweizerisches Strafrecht : allgemeine Voraussetzungen der Strafbarkeit, AT I, 6ème édition, Zurich 2004, p. 37). C’est dire que la quotité de la peine administrative doit être fixée en tenant compte des principes généraux régissant le droit pénal. En vertu de l’art. 1 al. 2 de la loi pénale genevoise du 20 septembre 1941 (LPG – E 4 05), il y a lieu de faire application des dispositions générales contenues dans le Code pénal suisse du 21 décembre 1937 (CP - RS 311.0), sous réserve des exceptions prévues par le législateur cantonal à l’art. 24 LPG.</w:t>
      </w:r>
    </w:p>
    <w:p>
      <w:r>
        <w:t>b. Il est ainsi nécessaire que le contrevenant ait commis une faute, fut-ce sous la forme d’une simple négligence. Selon des principes qui n’ont pas été remis en cause, l’administration doit faire preuve de sévérité afin d’assurer le respect de la loi (ATA G. du 20 septembre 1994 ; A. GRISEL, Traité de droit administratif, vol. 2, Neuchâtel, 1984, pp. 646-648). Elle bénéficie en particulier d’un large pouvoir d’appréciation pour infliger une amende et la juridiction de céans ne la censure qu’en cas d’excès. Enfin, l’amende doit respecter le principe de la proportionnalité (ATA/86/2006 du 14 février 2006 ; ATA/567/2005 du 16 août 2005). Il est ainsi tenu compte, dans la fixation du montant de l’amende, du degré de gravité de l’infraction et de la situation du recourant, par application analogique de l’art. 63 CP.</w:t>
      </w:r>
    </w:p>
    <w:p>
      <w:r>
        <w:t>En l’espèce, en effectuant les travaux litigieux sans autorisation, la recourante a commis une faute manifeste et contrevenu aux dispositions de la LCI et de la LDTR. Le principe d’une amende administrative à son encontre est en conséquence acquis.</w:t>
      </w:r>
    </w:p>
    <w:p>
      <w:r>
        <w:t>- 12/13 - A/2778/2009</w:t>
      </w:r>
    </w:p>
    <w:p>
      <w:r>
        <w:t>En fixant à CHF 1'000.- le montant de l’amende, le département a fait une application des plus mesurées du principe de la proportionnalité. La décision sera également confirmée sur ce point.</w:t>
      </w:r>
    </w:p>
    <w:p>
      <w:r>
        <w:t>S’agissant de la modification de la pratique du département dont s’étonne la recourante, celle-là est conforme à l’art. 45 al. 2 LDTR, lequel, depuis le 25 juin 2009, institue la même voie de recours pour toutes les sanctions prises par le département en application de la LDTR.</w:t>
      </w:r>
    </w:p>
    <w:p>
      <w:r>
        <w:rPr>
          <w:b/>
        </w:rPr>
        <w:t>E. 12</w:t>
      </w:r>
    </w:p>
    <w:p>
      <w:r>
        <w:t>En tous points mal fondé, le recours est rejeté. Un émolument de CHF 1'000.- sera mis à la charge de la recourante (art. 87 LPA).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