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ATA/570/2008 vom 4. November 2008</w:t>
      </w:r>
    </w:p>
    <w:p>
      <w:r>
        <w:t>GE Cour de justice, 2008-11-04, FR</w:t>
      </w:r>
    </w:p>
    <w:p>
      <w:r>
        <w:rPr>
          <w:b/>
        </w:rPr>
        <w:t xml:space="preserve">Quelle: </w:t>
      </w:r>
      <w:r>
        <w:t>https://mcp.opencaselaw.ch/entscheid/ge_gerichte_ATA_570_2008</w:t>
      </w:r>
    </w:p>
    <w:p>
      <w:r>
        <w:t>FR: GE_GERICHTE ATA/570/2008 du 4 novembre 2008</w:t>
      </w:r>
    </w:p>
    <w:p>
      <w:r>
        <w:t>IT: GE_GERICHTE ATA/570/2008 del 4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se réclame du fait qu’il n’aurait pas eu connaissance de la décision du 11 mars 2008. Cela étant, il conteste pas que dite décision a été notifiée à son adresse légale.</w:t>
      </w:r>
    </w:p>
    <w:p>
      <w:r>
        <w:t>Selon la jurisprudence du Tribunal fédéral,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(Arrêt du Tribunal fédéral 2C_119/2008 du 25 février 2008 et les références citées).</w:t>
      </w:r>
    </w:p>
    <w:p>
      <w:r>
        <w:t>Au surplus, toujours selon la jurisprudence constante, le justiciable qui est assisté par un mandataire doit supporter les inconvénients d’une telle intervention (Arrêt du Tribunal fédéral 2P.48/2006 du 10 mai 2006).</w:t>
      </w:r>
    </w:p>
    <w:p>
      <w:r>
        <w:t>Au vu de ce qui précède, c’est en vain que le recourant se prévaut du fait qu’il ne réside pas régulièrement à son adresse officielle et que de ce fait, il n’a pas eu connaissance de la décision du 11 mars 2008, la personne devant lui transmettre son courrier ayant failli à son devoir.</w:t>
      </w:r>
    </w:p>
    <w:p>
      <w:r>
        <w:t>Il faut donc admettre que la décision du 11 mars 2008 a été valablement notifiée au recourant et que celui-ci ne fait valoir aucun motif valable qui l’aurait empêché d’en prendre connaissance.</w:t>
      </w:r>
    </w:p>
    <w:p>
      <w:r>
        <w:t>- 4/5 - A/2894/2008</w:t>
      </w:r>
    </w:p>
    <w:p>
      <w:r>
        <w:rPr>
          <w:b/>
        </w:rPr>
        <w:t>E. 3</w:t>
      </w:r>
    </w:p>
    <w:p>
      <w:r>
        <w:t>Le recourant s’étant vu retirer son permis de conduire le 11 mars 2008 pour des infractions graves, il en résulte qu’il conduisait sous retrait le 6 juin 2008. Aux termes de l’article 16c alinéa 1 lettre f, la conduite sous retrait constitue une infraction grave (ATA/279/2008 du 27 mai 2008). Dès lors, toutes les conditions d’application de l’article 16c alinéa 2 lettre d LCR sont remplies.</w:t>
      </w:r>
    </w:p>
    <w:p>
      <w:r>
        <w:rPr>
          <w:b/>
        </w:rPr>
        <w:t>E. 4</w:t>
      </w:r>
    </w:p>
    <w:p>
      <w:r>
        <w:t>La disposition précitée contenant la clause selon laquelle le retrait, respectivement l’interdiction de conduire, est ordonné pour une durée indéterminée, mais au minimum pour une durée de deux ans, l’autorité intimée a fait une stricte application de la loi en s’en tenant à ce minimum légal.</w:t>
      </w:r>
    </w:p>
    <w:p>
      <w:r>
        <w:rPr>
          <w:b/>
        </w:rPr>
        <w:t>E. 5</w:t>
      </w:r>
    </w:p>
    <w:p>
      <w:r>
        <w:t>Quant aux conclusions du recourant ayant trait à la restitution de son permis de conduire russe, elles sont exorbitantes de l’objet du litige. Le Tribunal administratif ne peut donc pas en connaître.</w:t>
      </w:r>
    </w:p>
    <w:p>
      <w:r>
        <w:rPr>
          <w:b/>
        </w:rPr>
        <w:t>E. 6</w:t>
      </w:r>
    </w:p>
    <w:p>
      <w:r>
        <w:t>Mal fondé, le recours doit être rejeté. Son auteur qui succombe sera condamné aux frais de la procédure arrêtés à CHF 400.- en application de l’article 87 alinéa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