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ATA/56/2018 vom 23. Januar 2018</w:t>
      </w:r>
    </w:p>
    <w:p>
      <w:r>
        <w:t>GE Cour de justice, 2018-01-23, FR</w:t>
      </w:r>
    </w:p>
    <w:p>
      <w:r>
        <w:rPr>
          <w:b/>
        </w:rPr>
        <w:t xml:space="preserve">Quelle: </w:t>
      </w:r>
      <w:r>
        <w:t>https://mcp.opencaselaw.ch/entscheid/ge_gerichte_ATA_56_2018</w:t>
      </w:r>
    </w:p>
    <w:p>
      <w:r>
        <w:t>FR: GE_GERICHTE ATA/56/2018 du 23 janvier 2018</w:t>
      </w:r>
    </w:p>
    <w:p>
      <w:r>
        <w:t>IT: GE_GERICHTE ATA/56/2018 del 23 gennaio 2018</w:t>
      </w:r>
    </w:p>
    <w:p>
      <w:pPr>
        <w:pStyle w:val="Heading2"/>
      </w:pPr>
      <w:r>
        <w:t>Regeste</w:t>
      </w:r>
    </w:p>
    <w:p>
      <w:r>
        <w:t>Résumé: Examen de l'attribution des notes dans une procédure d'adjudication sous l'angle de l'interdiction de l'arbitraire et de l'abus du pouvoir d'appréciation. L'évaluation des offres faite par l'autorité intimée n'est pas critiquable. Appelé en cause mis hors de cause, dans la mesure où le contrat d'adjudication a été conclu.</w:t>
      </w:r>
    </w:p>
    <w:p>
      <w:pPr>
        <w:pStyle w:val="Heading2"/>
      </w:pPr>
      <w:r>
        <w:t>Erwägungen</w:t>
      </w:r>
    </w:p>
    <w:p>
      <w:r>
        <w:rPr>
          <w:b/>
        </w:rPr>
        <w:t>E. 12</w:t>
      </w:r>
    </w:p>
    <w:p>
      <w:r>
        <w:t>septembre 1985 - LPA- E 5 10). 2)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(ATA/1443/2017 du 31 octobre 2017 consid. 2a ; ATA/360/2014 du 20 mai 2014 consid. 3a).</w:t>
      </w:r>
    </w:p>
    <w:p>
      <w:r>
        <w:t>Le contrat ayant été conclu avec l’adjudicataire (art. 46 RMP),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w:t>
      </w:r>
    </w:p>
    <w:p>
      <w:r>
        <w:t>Par dépenses « subies en relation » avec ces procédures, le législateur a visé les dépenses exposées par le soumissionnaire lésé ; il a nécessairement exclu les dépenses inutiles ou superflues que celui-ci a engagées du fait d’une mauvaise gestion ou de circonstances exorbitantes auxdites procédures. Du point de vue du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et les références citées ; ATA/1443/2017 du 31 octobre 2017 consid. 2b ; ATA/570/2014 du 29 juillet 2014 consid. 1a).</w:t>
      </w:r>
    </w:p>
    <w:p>
      <w:r>
        <w:t>En tant que soumissionnaire évincé, et bien que le contrat ait déjà été conclu, la recourante conserve un intérêt actuel à recourir contre la décision d’adjudication au sens de l’art. 60 let. b LPA. En effet, son recours étant à même d’ouvrir ses droits à une indemnisation (ATF 125 II 86 consid. 5b), elle dispose de la qualité pour recourir.</w:t>
      </w:r>
    </w:p>
    <w:p>
      <w:r>
        <w:t>Dès lors que toutes les conditions énumérées ci-dessus sont remplies, le recours est recevable.</w:t>
      </w:r>
    </w:p>
    <w:p>
      <w:r>
        <w:t>- 8/13 - A/2846/2017 3)</w:t>
      </w:r>
    </w:p>
    <w:p>
      <w:r>
        <w:t>Le contrat d'adjudication ayant été signé, Matamoros, qui n'a plus d'intérêt au litige (art. 71 al. 1 LPA), sera mise hors de cause. 4)</w:t>
      </w:r>
    </w:p>
    <w:p>
      <w:r>
        <w:t>La recourante reproche à l’autorité intimée d’avoir fait un usage arbitraire de son pouvoir d’appréciation dans le cadre de l’évaluation de son offre et de celle de l’adjudicataire en ce qui concerne les notes attribuées pour les critères « références et qualité » et « organisation ».</w:t>
      </w:r>
    </w:p>
    <w:p>
      <w:r>
        <w:t>a.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w:t>
      </w:r>
    </w:p>
    <w:p>
      <w:r>
        <w:t>L’évaluation est faite selon les critères prédéfinis, conformément à l’art. 24 RMP, et énumérés dans l’appel d’offres et/ou les documents d’appel d’offres (art. 43 al. 1 RMP). Le résultat de l’évaluation des offres fait l’objet d’un tableau comparatif (art. 43 al. 2 RMP). Par ailleurs, le marché est adjugé au soumissionnaire ayant déposé l’offre économiquement la plus avantageuse, c’est-à-dire celle qui présente le meilleur rapport qualité/prix (art. 43 al. 3 RMP).</w:t>
      </w:r>
    </w:p>
    <w:p>
      <w:r>
        <w:t>b. En matière d’évaluation des offres, la jurisprudence reconnaît une grande liberté d’appréciation au pouvoir adjudicateur (ATF 125 II 86 consid. 6 ; ATA/851/2014 du 4 novembre 2014 consid. 9b ; ATA/20/2014 du 14 janvier 2014 consid. 11).</w:t>
      </w:r>
    </w:p>
    <w:p>
      <w:r>
        <w:t>L’appréciation de la chambre administrative ne saurait donc se substituer à celle de ce dernier. Seul l’abus ou l’excès du pouvoir d’appréciation doit être sanctionné (ATF 130 I 241 consid. 6.1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w:t>
      </w:r>
    </w:p>
    <w:p>
      <w:r>
        <w:t>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ATA/851/2014 précité consid. 9b ; ATA/20/2014 précité consid. 11).</w:t>
      </w:r>
    </w:p>
    <w:p>
      <w:r>
        <w:t>- 9/13 - A/2846/2017</w:t>
      </w:r>
    </w:p>
    <w:p>
      <w:r>
        <w:t>L’opportunité de ce choix ne peut être revue par l’autorité de recours (art. 16 al. 2 AIMP). De surcroît, aucune norme n’impose à l’autorité de faire connaître à l’avance la méthode de notation (ATF 2P.172/2002 précité consid. 2.3 ; ATA/851/2014 précité consid. 9b ; ATA/20/2014 précité consid. 11 ; Olivier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 De plus, l’offre économiquement la plus avantageuse ne signifie pas qu’elle doit être la moins chère. Ce n’est qu’en présence de biens standardisés que l’adjudicateur peut alors se fonder exclusivement sur le critère du prix le plus bas (RDAF 1999 I précitée p. 305 ; ATA/851/2014 précité consid. 9b ; ATA/20/2014 précité consid. 11).</w:t>
      </w:r>
    </w:p>
    <w:p>
      <w:r>
        <w:t>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consid. 4c ; ATA/368/2015 du 21 avril 2015 consid. 4c ; ATA/972/2014 du 9 décembre 2014).</w:t>
      </w:r>
    </w:p>
    <w:p>
      <w:r>
        <w:t>c.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w:t>
      </w:r>
    </w:p>
    <w:p>
      <w:r>
        <w:t>- 10/13 - A/2846/2017</w:t>
      </w:r>
    </w:p>
    <w:p>
      <w:r>
        <w:t>d.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La chambre administrative suit le raisonnement du Tribunal fédéral en la matière (ATA/1189/2017 du 22 août 2017 consid. 4c et les références citées).</w:t>
      </w:r>
    </w:p>
    <w:p>
      <w:r>
        <w:t>e. En l'espèce, la recourante n'expose pas en quoi l'autorité intimée aurait fait, selon elle, un usage arbitraire de son pouvoir d’appréciation dans l'attribution des notes pour les critères « références et qualité » et « organisation ».</w:t>
      </w:r>
    </w:p>
    <w:p>
      <w:r>
        <w:t>S'agissant du critère « références et qualité », la recourante a obtenu la note de 4, tandis que l'appelée en cause la note de 4,5. Cette différence de notation s'explique par la qualité des références présentées.</w:t>
      </w:r>
    </w:p>
    <w:p>
      <w:r>
        <w:t>En effet, d'une part, il ressort de l'écriture de la ville que celle-ci a souhaité privilégier les entreprises disposant d'ores et déjà d'expériences dans les travaux de peintures extérieures (façade métallique), lesquels représentaient un tiers du marché et une certaine complexité. Rien n'obligeait la ville à communiquer cet élément d'appréciation de manière anticipée. En effet, le fait d’apprécier plus favorablement une référence qui est en adéquation avec le travail qui doit être effectué, sur tous les points, n’est pas un critère supplémentaire, mais découle en toute logique de la notion de référence (ATA/1005/2016 du 29 novembre 2016 consid. 8). La recourante a produit quatre références au lieu des trois demandées, soit un marché pour la fondation des immeubles pour les organisations internationales (ci-après : FIPOI) exécuté entre 2009 et 2013 pour des travaux de cloisons et doublages, un marché pour le service immeubles, patrimoine et logistique (ci-après : SIPAL) du canton de Vaud exécuté en 2014 pour des travaux de plâtrerie et de peinture, un marché pour le SIPAL exécuté en 2010 pour des travaux de cloisons, doublages, peinture et protection incendie, ainsi qu'un marché pour ECA Assurances, lequel était en cours depuis 2016 et devait s'achever en 2017-2018 pour des travaux de plâtrerie (cloisons, doublages, gypserie). L'appelée en cause a quant à elle produit trois références, soit un marché pour la Clinique Générale Beaulieu exécuté entre mars 2014 et février 2015 pour des travaux de peinture façades métal, plâtrerie et peinture intérieure, un marché pour la</w:t>
      </w:r>
    </w:p>
    <w:p>
      <w:r>
        <w:t>- 11/13 - A/2846/2017 communauté des propriétaires « Le Corbusier » exécuté entre septembre 2009 et juin 2011 pour des travaux de peinture façade métal et des travaux intérieurs de plâtre et peinture, ainsi qu'un marché pour un bâtiment sis à l'avenue de Sécheron, pour des travaux de peintures extérieurs et intérieurs, ainsi que de la plâtrerie. Il apparaît dès lors que l'appelée en cause a exécuté à plusieurs reprises des travaux de peintures extérieures sur façade métallique. La recourante n'a pour sa part présenté aucune référence pour de tels travaux.</w:t>
      </w:r>
    </w:p>
    <w:p>
      <w:r>
        <w:t>D'autre part, les conditions particulières du dossier d’appel d’offres mentionnaient que les références indiquées dans l’offre seraient vérifiées par téléphone. En l'occurrence, le pouvoir adjudicateur a indiqué avoir procédé auxdites vérifications. Il en ressort que toutes les personnes interrogées concernant les marchés réalisés par l'appelée en cause étaient satisfaites de son travail, tandis qu'une de celles interrogées en lien avec les travaux de la recourante a indiqué avoir été très insatisfaite et a déconseillé à quiconque de lui confier des travaux. La recourante n'a pas contesté ni apporté des éléments qui permettraient de remettre en cause ces propos.</w:t>
      </w:r>
    </w:p>
    <w:p>
      <w:r>
        <w:t>Il apparaît dès lors que l'appelée en cause a fourni des références permettant de démontrer qu'elle était plus apte à réaliser à satisfaction l'entier des travaux projetés que la recourante, raison pour laquelle elle a obtenu une note supérieure. En aucun cas on ne peut ainsi reprocher au pouvoir adjudicateur d’avoir procédé à une évaluation arbitraire de ce critère.</w:t>
      </w:r>
    </w:p>
    <w:p>
      <w:r>
        <w:t>Concernant le critère « organisation », la recourante a obtenu la note de 3, et l'appelée en cause la note de 4,5. La simple lecture des dossiers de soumission met en évidence que l'appelée en cause a été plus précise que la recourante dans les données fournies au pouvoir adjudicateur pour ce critère. En effet, la recourante n'a pas répondu à plusieurs questions relatives à l'organisation de l'entreprise, à savoir l'effectif global de celle-ci ainsi que les effectifs consacrés à l'exécution du marché. Par ailleurs, si elle a certes transmis des organigrammes mentionnant le nom des différents administrateurs et responsables de l'entreprise, ainsi qu'un organigramme fonctionnel, ceux-ci ne permettent pas de déterminer les effectifs et l'organisation consacrés au marché en question. À l'inverse, l'appelée en cause a précisé qu'elle comptait vingt-quatre employés et a fourni un organigramme structurel listant précisément l'effectif global de l'entreprise, ainsi que des organigrammes en lien avec le marché en question mentionnant l'effectif prévu pour chacune des trois phases du chantier. Dès lors, il ne peut être reproché à la ville d'avoir accordé une meilleure note à l'appelée en cause.</w:t>
      </w:r>
    </w:p>
    <w:p>
      <w:r>
        <w:t>Au vu de ce qui précède, l’évaluation des offres faite par l’autorité adjudicatrice n’est constitutive d’aucun excès ou abus de son pouvoir d’appréciation, pas plus qu'elle n'est arbitraire.</w:t>
      </w:r>
    </w:p>
    <w:p>
      <w:r>
        <w:t>- 12/13 - A/2846/2017 5)</w:t>
      </w:r>
    </w:p>
    <w:p>
      <w:r>
        <w:t>Le recourante reproche également à l'autorité intimée de ne pas lui avoir attribué le marché alors qu'elle avait pourtant fait l’offre la moins chère.</w:t>
      </w:r>
    </w:p>
    <w:p>
      <w:r>
        <w:t>En l'occurrence, le prix ne constituait pas le critère principal pris en compte pour l’évaluation de l’offre puisqu'il représentait le 30 % de l’évaluation finale, tandis que les références et la qualité représentaient 45 % de l'évaluation finale. Il ne s’agissait ainsi que d’un critère parmi d’autres, de sorte que la différence de prix n’était pas à elle seule à même de garantir l’adjudication du marché à l’intéressée. Ayant fait l’offre la meilleur marché, la recourante a dûment obtenu la note maximale de 5. Pour le surplus, elle n’émet aucun grief à l’encontre du calcul effectué par le pouvoir adjudicateur fixant la note de l’appelée en cause, pour ce même critère, à 3,93.</w:t>
      </w:r>
    </w:p>
    <w:p>
      <w:r>
        <w:t>Infondé, ce grief sera par conséquent écarté. 6)</w:t>
      </w:r>
    </w:p>
    <w:p>
      <w:r>
        <w:t>Dans ces circonstances, la décision d’adjudication de la ville est conforme au droit et le recours de Grillo &amp; Fils sera rejeté. 7)</w:t>
      </w:r>
    </w:p>
    <w:p>
      <w:r>
        <w:t>Vu l’issue du recours, un émolument de CHF 1'000.- sera mis à la charge de la recourante (art. 87 al. 1 LPA). Aucune indemnité de procédure ne sera allouée à l’intimée, qui est dotée d’un service juridique, ni à Matamoros, qui y a effectivement conclu mais qui n'a pas été assistée d'un mandataire professionnel et ne prouve pas avoir assumé des dépenses particulières pour la défense de ses intérêts (art. 87 al. 2 LPA ; ATF 129 II 297 consid. 5 ; ATA/392/2014 du 27 mai 2014 consid. 3g).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