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ATA/569/2025 vom 20. Mai 2025</w:t>
      </w:r>
    </w:p>
    <w:p>
      <w:r>
        <w:t>GE Cour de justice, 2025-05-20, FR</w:t>
      </w:r>
    </w:p>
    <w:p>
      <w:r>
        <w:rPr>
          <w:b/>
        </w:rPr>
        <w:t xml:space="preserve">Quelle: </w:t>
      </w:r>
      <w:r>
        <w:t>https://mcp.opencaselaw.ch/entscheid/ge_gerichte_ATA_569_2025</w:t>
      </w:r>
    </w:p>
    <w:p>
      <w:r>
        <w:t>FR: GE_GERICHTE ATA/569/2025 du 20 mai 2025</w:t>
      </w:r>
    </w:p>
    <w:p>
      <w:r>
        <w:t>IT: GE_GERICHTE ATA/569/2025 del 20 maggio 2025</w:t>
      </w:r>
    </w:p>
    <w:p>
      <w:pPr>
        <w:pStyle w:val="Heading2"/>
      </w:pPr>
      <w:r>
        <w:t>Regeste</w:t>
      </w:r>
    </w:p>
    <w:p>
      <w:r>
        <w:t>Résumé: Rejet d’un recours contre un jugement du TAPI confirmant une autorisation de construire un centre d’hébergement pour requérants d’asile composé de six bâtiments accolés sur une parcelle sise en zone de développement affecté à des équipements publics, sur laquelle un ancien centre avait été démoli. Il avait été valablement renoncé à l’établissement d’un PLQ, s’agissant d’une construction affectée à l’équipement public (art. 2 al. 2 let. b LGZD cité, suite à une erreur de plume, art. 2 al. 2 let. c LGZD, dans la motivation de la décision du département). Examen de la définition d’équipement public en lien avec la construction logements pour l’hébergement de requérants d’asile.</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63 al. 1 let. b et 17 al. 3 de la loi sur la procédure administrative du 12 septembre 1985 - LPA - E 5 10).</w:t>
      </w:r>
    </w:p>
    <w:p>
      <w:r>
        <w:t>Bien que l’hospice soutienne que A______ ne disposerait pas de la qualité pour recourir, il s’avère qu’elle est propriétaire d’une parcelle sise en face du projet. À ce titre, et même si elle n’est pas domiciliée à cette adresse, sa qualité pour recourir devrait en principe être admise en application de la jurisprudence rendue en la matière. Quoiqu’il en soit, la question peut souffrir de rester indécise, la qualité pour recourir des autres recourants, tous voisins du projet de construction, n’étant à juste titre pas remise en cause. Le recours est donc recevable.</w:t>
      </w:r>
    </w:p>
    <w:p>
      <w:r>
        <w:rPr>
          <w:b/>
        </w:rPr>
        <w:t>E. 2</w:t>
      </w:r>
    </w:p>
    <w:p>
      <w:r>
        <w:t>Le litige porte sur la conformité au droit de l’autorisation de construire un centre d’hébergement pour requérants d’asile selon la DD 13______ délivrée le 14 juin 2023.</w:t>
      </w:r>
    </w:p>
    <w:p>
      <w:r>
        <w:rPr>
          <w:b/>
        </w:rPr>
        <w:t>E. 2.1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2.2</w:t>
      </w:r>
    </w:p>
    <w:p>
      <w:r>
        <w:t>Le droit d’être entendu au sens de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w:t>
      </w:r>
    </w:p>
    <w:p>
      <w:r>
        <w:t>- 9/14 - A/2391/2023 fondé sa décision, de manière à ce que l’intéressé puisse se rendre compte de sa portée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Elle ne doit pas se prononcer sur tous les arguments (arrêt du Tribunal fédéral 2C_286/2022 du 6 octobre 2022 consid. 6.3 et les arrêts cités). La motivation peut être implicite et résulter des différents considérants de la décision (ATF 141 V 557 consid. 3.2.1 ; arrêt du Tribunal fédéral 1C_586/2021 du 20 avril 2022 consid. 2.1).</w:t>
      </w:r>
    </w:p>
    <w:p>
      <w:r>
        <w:rPr>
          <w:b/>
        </w:rPr>
        <w:t>E. 2.3</w:t>
      </w:r>
    </w:p>
    <w:p>
      <w:r>
        <w:t>En l’espèce, l’acte de recours contient de nombreuses considérations qui ne concernent pas directement l’autorisation de construire litigieuse mais d’autres projets d’aménagement du quartier (PLQ sur la parcelle voisine, projet de loi de modification de zones notamment). Ces éléments ne seront pas examinés dans la mesure où ils sont exorbitants au litige.</w:t>
      </w:r>
    </w:p>
    <w:p>
      <w:r>
        <w:rPr>
          <w:b/>
        </w:rPr>
        <w:t>E. 3</w:t>
      </w:r>
    </w:p>
    <w:p>
      <w:r>
        <w:t>Les recourants invoquent une constatation inexacte des faits.</w:t>
      </w:r>
    </w:p>
    <w:p>
      <w:r>
        <w:rPr>
          <w:b/>
        </w:rPr>
        <w:t>E. 3.1</w:t>
      </w:r>
    </w:p>
    <w:p>
      <w:r>
        <w:t>La valeur « intéressante » attribuée dans le cadre du recensement architectural à certains bâtiments sis à proximité du projet n’aurait pas été prise en compte par le TAPI. Or le TAPI l’a mentionnée dans son jugement et il a pris position à cet égard, relevant que l’autorisation litigieuse ne concernait pas les bâtiments mentionnés (ch. 11 en fait et 23 en droit du jugement du TAPI). Ce grief tombe donc à faux. Il en va de même de la prétendue absence de précision de la zone d’affectation des parcelles concernées par le projet, mentionnée au ch. 1 de la partie en fait du jugement du TAPI, ou de la mention d’une modification de zone en projet dans le périmètre voisin, laquelle ressort également des faits retenus par le TAPI au ch. 4 de son jugement. Toutes les critiques émises par les recourants au sujet de l’établissement des faits, concernent soit des faits effectivement relevés par le TAPI, comme ceux vu ci-dessus, ou des éléments qui ne concernent pas le projet litigieux, comme par exemple l’évolution prévue du quartier en lien avec le PLQ prévoyant la construction de logements avec un parking souterrain ou encore les travaux concernant le CEC J______. Les recourants n’indiquent pas de quelle manière ces éléments de fait seraient susceptibles d’influer sur la résolution de la question litigieuse, soit la conformité au droit de l’autorisation de construire délivrée. En conséquence, le grief de constatation inexacte des faits sera écarté.</w:t>
      </w:r>
    </w:p>
    <w:p>
      <w:r>
        <w:rPr>
          <w:b/>
        </w:rPr>
        <w:t>E. 4</w:t>
      </w:r>
    </w:p>
    <w:p>
      <w:r>
        <w:t>Les recourants invoquent une violation des art. 2 al. 2 et 5 al. 2 LGZD. Le projet porterait sur des logements et non sur un équipement public. Il ne correspondrait ainsi pas à la zone d’affectation de la parcelle.</w:t>
      </w:r>
    </w:p>
    <w:p>
      <w:r>
        <w:rPr>
          <w:b/>
        </w:rPr>
        <w:t>E. 4.1</w:t>
      </w:r>
    </w:p>
    <w:p>
      <w:r>
        <w:t>Aux termes de l’art. 2 al. 1 LGZD, la délivrance d’autorisations de construire selon les normes d’une zone de développement est subordonnée, sous réserve des demandes portant sur des objets de peu d’importance ou provisoires, à</w:t>
      </w:r>
    </w:p>
    <w:p>
      <w:r>
        <w:t>- 10/14 - A/2391/2023 l’approbation préalable par le Conseil d’État d’un PLQ, assorti d’un règlement (let. a) et des conditions particulières applicables au projet (let. b). Selon l’art. 2 al. 2 LGZD, en dérogation à l’al. 1, let. a LGZD, le Conseil d’État peut, après consultation du Conseil administratif ou du maire de la commune, renoncer à l’établissement d’un PLQ dans cinq hypothèses, notamment en zone de développement affectée à de l’équipement public (let. b). Les constructions d’équipement public, sont définies comme des constructions, autres que du logement, nécessaires à la satisfaction des besoins d’équipement de l’État, des communes, d’établissements ou de fondations de droit public (art. 30A al. 1 LaLAT). Le Tribunal fédéral a examiné la question de la relation existant entre un requérant d’asile et l’hospice général responsable du centre d’accueil dans lequel celui-ci était logé, en vue de déterminer l’application ou non droit du bail. Il est arrivé à la conclusion qu’en sa qualité d’établissement autonome de droit public chargé à Genève des tâches d’assistance qui incombaient au canton en vertu de la législation fédérale sur l’asile (art. 3 al. 3 de la loi sur l'Hospice général du 17 mars 2006 - LHG - J 4 07), l’hospice général devait disposer de locaux, en l’occurrence ceux du centre d’accueil, qui devaient être considérés, de ce fait, équivalents à ceux d’un hôpital, d’une école ou d’un service administratif servant à remplir une tâche publique. En conclusion, le droit du bail ne s’appliquait pas (arrêt du Tribunal fédéral 8C_826/2017 du 17 septembre 2018). En outre, dans sa jurisprudence, la chambre de céans a précisé que les bâtiments destinés à abriter des centres de requérants d’asile répondent aux obligations en matière d’asile découlant du droit fédéral (ATA/1461/2017 du 31 octobre 2017 consid. 2). Elle a également retenu que la construction de logements provisoires pour requérants d’asile était possible en zone de développement destinée à de l’équipement public (ATA/367/2003 du 13 mai 2003). À cet égard, le caractère provisoire des constructions (prévues pour une dizaine d’années) n’a aucune incidence sur la qualification d’équipement public et les recourants n’apportent aucune justification qui permettrait de qualifier de logements les constructions qui ne seraient pas provisoires, comme en l’espèce, et d’équipement public celles qui le sont. Dans un autre arrêt, la chambre de céans a laissé ouverte la question de la qualification (ATA/1461/2017 précité). La doctrine retient que la mise à disposition de logements pour des requérants d’asile, comme la construction de bâtiments pour personnes âgées (homes), constituait une tâche publique qui peut avoir lieu dans la zone destinée à la réalisation de tâches publiques (Jean-Baptiste ZUFFEREY/Jean-Michel BRAHIER, Les centres cantonaux pour requérants d’asile face au droit de la construction in : Droit de la construction 1/2014, p. 8 et les références citées). Il convient enfin de relever que, dans le rapport relatif au projet de modification de la zone concernée en zone de développement 3 ordinaire (PL 12______-A), ajourné</w:t>
      </w:r>
    </w:p>
    <w:p>
      <w:r>
        <w:t>- 11/14 - A/2391/2023 sine die sur demande du Conseil d’État le 22 septembre 2023, la majorité de la commission a notamment relevé qu’en cas de refus du projet de loi, la reconstruction du centre pour migrants pourrait de toute manière être réalisée, puisque sa destination était en conformité avec la zone d’affectation actuelle en équipement public (p. 3 du rapport de majorité).</w:t>
      </w:r>
    </w:p>
    <w:p>
      <w:r>
        <w:rPr>
          <w:b/>
        </w:rPr>
        <w:t>E. 4.2</w:t>
      </w:r>
    </w:p>
    <w:p>
      <w:r>
        <w:t>S’agissant, comme en l’espèce, d’un centre d’hébergement collectif pour requérants d’asile, il s’agit de bâtiments qui, comme vu ci-dessus, doivent être qualifiés d’équipements publics conformes à la zone dans laquelle se situe la parcelle, soit une zone de développement 3 dévolue aux équipements publics. Cette conclusion reste identique même si la typologie des locaux pourrait permettre, dans l'hypothèse d'une disparition des besoins en matière d’hébergement des requérants d’asile, une utilisation pour des locaux d’habitation. En effet, d’une part, l’office cantonal du logement et de la planification foncière s’est déclaré non concerné par le projet le 16 mars 2023 ne s’agissant pas d’habitations et, d'autre part, une éventuelle modification d’affectation ou de destination devrait être sollicitée le cas échéant (art. 1 al. 1 let. b LCI). S’agissant de la durée de séjour des requérants dans le centre d’hébergement, dont les recourants font grand cas, insistant sur l’absence d’informations à ce sujet dans le dossier, la chambre de céans peine à comprendre son importance dans le cadre du présent litige, les recourant ne donnant pas d’explication compréhensible à ce sujet, invoquant uniquement « une impossibilité d’adhérer à une durée prétendument limitée dont ils ignorent tout ». L’instruction demandée sur cette question n’apparaît donc pas pertinente et c’est à juste titre que le TAPI y a renoncé. Quant aux « activités commerciales » qui seraient prévues en raison d’une mention faite sur les plans du projet, le doute a été levé, si besoin était, par l’audition de l’architecte du projet par le TAPI, lors de laquelle celle-ci a précisé que la mention « locaux commerciaux » visait à distinguer les locaux conçus pour des activités de ceux dévolus au logement des requérants. L’hospice a confirmé cette explication en audience et dans ses écritures, le projet prévoyant de nombreux locaux dédiés à des activités (administratives ou collectives), notamment ceux sis au rez-de-chaussée des bâtiments. Dans ce cas, la destination des locaux, malgré l’erreur de plume relevée, ne porte pas à confusion et aucun des locaux n’apparaît être à destination d’activités commerciales. Le grief sera donc écarté.</w:t>
      </w:r>
    </w:p>
    <w:p>
      <w:r>
        <w:rPr>
          <w:b/>
        </w:rPr>
        <w:t>E. 5</w:t>
      </w:r>
    </w:p>
    <w:p>
      <w:r>
        <w:t>Les recourants se prévalent de la mention de l’art. 2 al. 2 let. c LGZD dans la motivation de l’arrêté du département renonçant à l’établissement d’un PLQ et du fait que le TAPI n’aurait pas été compétent pour procéder à une substitution de la let. b de cette disposition en lieu et place de la let. c.</w:t>
      </w:r>
    </w:p>
    <w:p>
      <w:r>
        <w:rPr>
          <w:b/>
        </w:rPr>
        <w:t>E. 5.1</w:t>
      </w:r>
    </w:p>
    <w:p>
      <w:r>
        <w:t>Contrairement à ce qu’affirment les recourants, le TAPI n’a pas opéré de substitution mais a donné acte au département, dans le dispositif du jugement, de</w:t>
      </w:r>
    </w:p>
    <w:p>
      <w:r>
        <w:t>- 12/14 - A/2391/2023 sa volonté d’autoriser la renonciation à un PLQ sur la base de la let. b, la mention de la let. c relevant uniquement d’une erreur de plume. La conclusion à laquelle est arrivée le TAPI ne peut qu’être suivie dans la mesure où notamment le préavis de l’OU se référait à la let. b, comme le faisait expressément l’autorisation de construire litigieuse. En outre, s’agissant d’une parcelle sise en zone de développement 3 destinée à l’équipement public, la dérogation était à l’évidence en lien avec une telle construction, laquelle avait pour vocation de remplacer l’ancien centre d’hébergement qui vient d’être détruit. Finalement, faisant application du principe d’économie de procédure et de la jurisprudence en matière d’erreur de plume dépourvue de toute portée juridique (arrêt du Tribunal fédéral 2A.650/2004 du 23 juin 2025 consid. 3.2), le TAPI a évité de faire preuve de formalisme excessif en annulant l’arrêté pour la correction d’une erreur qui n’a pas eu pour effet d’empêcher les recourants de faire valoir leurs droits. En conclusion sur ce point, le grief doit être écarté.</w:t>
      </w:r>
    </w:p>
    <w:p>
      <w:r>
        <w:rPr>
          <w:b/>
        </w:rPr>
        <w:t>E. 6</w:t>
      </w:r>
    </w:p>
    <w:p>
      <w:r>
        <w:t>Les recourants invoquent enfin une violation de l’art. 24 LaLAT dans la mesure où, selon le TAPI, l’examen de la conformité au droit de l’emplacement pour vélos du CEC J______ devrait être effectué lors du dépôt d’une requête complémentaire.</w:t>
      </w:r>
    </w:p>
    <w:p>
      <w:r>
        <w:rPr>
          <w:b/>
        </w:rPr>
        <w:t>E. 6.1</w:t>
      </w:r>
    </w:p>
    <w:p>
      <w:r>
        <w:t>L’art. 24 LaLAT prévoit que la zone de verdure comprend les terrains ouverts à l’usage public et destinés au délassement, ainsi que les cimetières (al. 1). Les constructions, installations et défrichements sont interdits s’ils ne servent l’aménagement de lieux de délassement de plein air, respectivement de cimetières (al. 2). Toutefois, si la destination principale est respectée, le département peut exceptionnellement, après consultation de la commission d’urbanisme autoriser des constructions d’utilité publique dont l’emplacement est imposé par leur destination, et des exploitations agricoles (al. 3).</w:t>
      </w:r>
    </w:p>
    <w:p>
      <w:r>
        <w:rPr>
          <w:b/>
        </w:rPr>
        <w:t>E. 6.2</w:t>
      </w:r>
    </w:p>
    <w:p>
      <w:r>
        <w:t>Le grief des recourants est peu compréhensible dans la mesure où le projet ne prévoit des places pour vélos qu'aux alentours immédiats des bâtiments projetés, soit en dehors de la zone de verdure. Cela apparaît clairement sur l’extrait du plan cadastral visé ne varietur le 14 juin 2023 sur lequel figurent les places pour vélos projetées et la limite de la zone de verdure. Ainsi, s’il a été fait mention dans les préavis, notamment celui de l’OCAN, d’un emplacement pour vélos situé dans la zone de verdure, il s’agit de celui dédié aux utilisateurs du CEC J______ qui n’est donc pas en lien avec le projet autorisé. La réponse reste identique même si cet emplacement a été discuté par les parties ou instruit par le TAPI, et que cet emplacement résulte d'un PAP du 1er mai 2023, sur lequel figure également une école provisoire, puisqu’il n’a pas été autorisé par la décision faisant l'objet de la présente procédure, seule litigieuse.</w:t>
      </w:r>
    </w:p>
    <w:p>
      <w:r>
        <w:rPr>
          <w:b/>
        </w:rPr>
        <w:t>E. 6.3</w:t>
      </w:r>
    </w:p>
    <w:p>
      <w:r>
        <w:t>C’est donc à juste titre que le TAPI a retenu dans son jugement que la conformité à la zone de verdure de cet emplacement pour vélos ne faisait pas partie du projet tel qu’autorisé et que la question de sa conformité au droit devrait être</w:t>
      </w:r>
    </w:p>
    <w:p>
      <w:r>
        <w:t>- 13/14 - A/2391/2023 examinée dans le cadre d’une autre décision d’autorisation de construire ou d’une décision complémentaire, cas échéant. En conséquence, le grief des recourants tombe à faux. En tous points infondés, le recours doit être rejeté.</w:t>
      </w:r>
    </w:p>
    <w:p>
      <w:r>
        <w:rPr>
          <w:b/>
        </w:rPr>
        <w:t>E. 7</w:t>
      </w:r>
    </w:p>
    <w:p>
      <w:r>
        <w:t>Vu l’issue du litige, un émolument de CHF 1'000.- sera mis à la charge conjointe des recourants (art. 87 al. 1 LPA). Aucune indemnité de procédure ne sera allouée à l’hospice, qui dispose de son propre service juridique, conformément à la jurisprudence de la chambre de céans (art. 87 al. 2 LPA ; ATA/1078/2024 du</w:t>
      </w:r>
    </w:p>
    <w:p>
      <w:r>
        <w:rPr>
          <w:b/>
        </w:rPr>
        <w:t>E. 10</w:t>
      </w:r>
    </w:p>
    <w:p>
      <w:r>
        <w:t>septembre 2024 consid. 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