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ATA/568/2017 vom 19. Mai 2017</w:t>
      </w:r>
    </w:p>
    <w:p>
      <w:r>
        <w:t>GE Cour de justice, 2017-05-19, FR</w:t>
      </w:r>
    </w:p>
    <w:p>
      <w:r>
        <w:rPr>
          <w:b/>
        </w:rPr>
        <w:t xml:space="preserve">Quelle: </w:t>
      </w:r>
      <w:r>
        <w:t>https://mcp.opencaselaw.ch/entscheid/ge_gerichte_ATA_568_2017</w:t>
      </w:r>
    </w:p>
    <w:p>
      <w:r>
        <w:t>FR: GE_GERICHTE ATA/568/2017 du 19 mai 2017</w:t>
      </w:r>
    </w:p>
    <w:p>
      <w:r>
        <w:t>IT: GE_GERICHTE ATA/568/2017 del 19 maggio 2017</w:t>
      </w:r>
    </w:p>
    <w:p>
      <w:pPr>
        <w:pStyle w:val="Heading2"/>
      </w:pPr>
      <w:r>
        <w:t>Erwägungen</w:t>
      </w:r>
    </w:p>
    <w:p>
      <w:r>
        <w:rPr>
          <w:b/>
        </w:rPr>
        <w:t>E. 4</w:t>
      </w:r>
    </w:p>
    <w:p>
      <w:r>
        <w:t>janvier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w:t>
      </w:r>
    </w:p>
    <w:p>
      <w:r>
        <w:t>De plus,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w:t>
      </w:r>
    </w:p>
    <w:p>
      <w:r>
        <w:t>e. Contrairement à l’art. 76 LEtr et, partiellement, à l’art. 77 LEtr, il est nécessaire, pour la mise en détention en vertu de l’art. 78 LEtr, que la décision de</w:t>
      </w:r>
    </w:p>
    <w:p>
      <w:r>
        <w:t>- 11/14 - A/1425/2017 renvoi ou d’expulsion soit entrée en force et pas seulement exécutoire (Minh SON NGUYEN/Cesla AMARELLE, op. cit., p. 833). 6)</w:t>
      </w:r>
    </w:p>
    <w:p>
      <w:r>
        <w:t>La détention peut être ordonnée pour une période d’un mois et prolongée de deux mois en deux mois (art. 78 al. 2 LEtr).</w:t>
      </w:r>
    </w:p>
    <w:p>
      <w:r>
        <w:t>Aux termes de l'art. 79 al. 1 et al. 2 let. a LEtr, si la personne concernée ne coopère pas avec l'autorité compétente, la durée maximale de la détention, qui comprend notamment la détention en vue du renvoi et la détention pour insoumission, ne peut excéder au total dix-huit mois. 7)</w:t>
      </w:r>
    </w:p>
    <w:p>
      <w:r>
        <w:t>En l'espèce, M. A______ fait l'objet d'une décision de renvoi définitive et exécutoire. Le fait qu'il ait sollicité la reconsidération de ladite décision n'y change rien puisque le SEM a rejeté sa demande le 13 février 2017 et qu'un éventuel recours n'aurait pas d'effet suspensif.</w:t>
      </w:r>
    </w:p>
    <w:p>
      <w:r>
        <w:t>La décision de renvoi ne peut être exécutée, dans la mesure où, d'une part, son retour dans son pays par vol spécial n’est pas envisageable, ce qui implique que seule sa coopération pourrait permettre son départ de Suisse, et, d'autre part, il refuse d'entreprendre les démarches qui permettraient d'exécuter son renvoi, soit – dès lors que le fait d'apposer son empreinte sur le laissez-passer ne semble plus une condition indispensable – de prendre l'avion à destination de Bagdad sans escorte, et de signer le formulaire remis par l'ambassade d'Irak en Suisse. Si M. A______ exprime certes son refus d'être renvoyé, son comportement dénote surtout son refus de collaborer à son renvoi. Ce faisant, les conditions relatives à la prolongation de la détention administrative pour insoumission sont incontestablement remplies.</w:t>
      </w:r>
    </w:p>
    <w:p>
      <w:r>
        <w:t>Le recourant expose encore que le renvoi en Irak serait impossible, puisque les renvois par vol spécial ne sont pas autorisés. Or, il ne peut tirer de cela aucun argument en sa faveur, dans la mesure où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 De plus, il ressort du dossier que, contrairement à ce que prétend le recourant, les autorités irakiennes ne sont pas opposées, dans son cas, à un renvoi par vol DEPA puisque ces dernières ont délivré un laissez-passer. Cet élément est d'ailleurs confirmé par le SEM qui a indiqué que le cas de M. A______ avait fait, sur le principe tout au moins, l'objet d'un accord exprès. Par ailleurs, dans la mesure où seul son comportement empêche à présent son renvoi, il ne peut se prévaloir de l'impossibilité de son renvoi pour solliciter la levée de sa détention pour insoumission.</w:t>
      </w:r>
    </w:p>
    <w:p>
      <w:r>
        <w:t>Il sera rappelé en outre que contrairement au cas cité par le Tribunal fédéral dans l'arrêt 2C_984/2013 du 14 novembre 2013, M. A______ possède un lourd</w:t>
      </w:r>
    </w:p>
    <w:p>
      <w:r>
        <w:t>- 12/14 - A/1425/2017 passé pénal puisqu'il totalise plus de trente condamnations depuis son arrivée en Suisse.</w:t>
      </w:r>
    </w:p>
    <w:p>
      <w:r>
        <w:t>Conformément à l’art. 78 al. 2 LEtr, la prolongation de la détention pour insoumission a en l'espèce été ordonnée pour deux mois, soit jusqu’au 3 juillet 2017. M. A______ a été placé en détention administrative le 5 décembre 2016 et se trouve en détention pour insoumission depuis le 3 février 2017. La détention pour insoumission prononcée respecte la durée maximale admissible en vertu de l’art. 79 LEtr. 8) a.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ATA/336/2017 du 22 mars 2017 ; ATA/1094/2016 du 22 décembre 2016).</w:t>
      </w:r>
    </w:p>
    <w:p>
      <w:r>
        <w:t>b. La CourEDH a relevé dans un arrêt du 23 août 2016 que, bien que la situation en matière de sécurité se soit dégradée dans la ville de Bagdad, l’intensité de la violence n’avait pas atteint un niveau qui présenterait en soi un risque réel que des individus subissent, de manière générale, de la torture ou des peines et traitements inhumains ou dégradants contraires à l’article 3 CEDH. Se référant à une autre affaire, elle a toutefois rappelé que, dans les affaires où un requérant allègue faire partie d’un groupe systématiquement exposé à une pratique de mauvais traitements, la CourEDH considère que la protection de l’art. 3 CEDH entre en jeu lorsque l’intéressé démontre qu’il y a des motifs sérieux et avérés de croire à l’existence de la pratique en question et à son appartenance au groupe visé (ACEDH J.K. et autres c. Suède [Grande Chambre] du 23 août 2016, req. 59166/12).</w:t>
      </w:r>
    </w:p>
    <w:p>
      <w:r>
        <w:t>c. En l'espèce, M. A______ n'invoque plus expressément son appartenance à la communauté des yézidis, lesquels sont persécutés par les djihadistes de l'EI en Irak.</w:t>
      </w:r>
    </w:p>
    <w:p>
      <w:r>
        <w:t>Il peut dès lors être renvoyé au précédent arrêt de la chambre de céans (ATA/336/2017 précité consid. 8) sur ce point.</w:t>
      </w:r>
    </w:p>
    <w:p>
      <w:r>
        <w:t>d. Concernant l'état de santé de M. A______, tel que décrit dans le certificat médical du 25 avril 2017, il ne rend en tout état de cause pas l'exécution du renvoi impossible, aucune des conditions décrites n'empêchant l'intéressé de voyager en avion.</w:t>
      </w:r>
    </w:p>
    <w:p>
      <w:r>
        <w:t>Il n'est pas apte non plus à exercer une influence sur l'exigibilité de l'exécution du renvoi, dans la mesure où les problèmes de santé décrits n'atteignent pas un seuil de gravité suffisant pour être pris en compte à ce titre (qui</w:t>
      </w:r>
    </w:p>
    <w:p>
      <w:r>
        <w:t>- 13/14 - A/1425/2017 est élevé, arrêt du Tribunal fédéral 2C_856/2015 du 10 octobre 2015 consid. 3.1). Il sera en outre rappelé que la péjoration de l'état psychique est une réaction qui peut être couramment observée à l'approche d'un renvoi, sans que cela constitue un obstacle sérieux à l'exécution de ce dernier (arrêt du Tribunal administratif fédéral D-4244/2014 du 9 février 2016). 9) Mal fondé, le recours sera donc rejeté.</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