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ATA/568/2015 vom 2. Juni 2015</w:t>
      </w:r>
    </w:p>
    <w:p>
      <w:r>
        <w:t>GE Cour de justice, 2015-06-02, FR</w:t>
      </w:r>
    </w:p>
    <w:p>
      <w:r>
        <w:rPr>
          <w:b/>
        </w:rPr>
        <w:t xml:space="preserve">Quelle: </w:t>
      </w:r>
      <w:r>
        <w:t>https://mcp.opencaselaw.ch/entscheid/ge_gerichte_ATA_568_2015</w:t>
      </w:r>
    </w:p>
    <w:p>
      <w:r>
        <w:t>FR: GE_GERICHTE ATA/568/2015 du 2 juin 2015</w:t>
      </w:r>
    </w:p>
    <w:p>
      <w:r>
        <w:t>IT: GE_GERICHTE ATA/568/2015 del 2 giugno 2015</w:t>
      </w:r>
    </w:p>
    <w:p>
      <w:pPr>
        <w:pStyle w:val="Heading2"/>
      </w:pPr>
      <w:r>
        <w:t>Regeste</w:t>
      </w:r>
    </w:p>
    <w:p>
      <w:r>
        <w:t>Résumé: Recours contre une décision de placement en cellule forte pour trois jours. Toujours en détention, le recourant conserve un intérêt juridique actuel au recours. In casus, l'état de santé mental du recourant ne commandait pas son transfert auprès de l'unité hospitalière de psychiatrie pénitentiaire, respectivement ne s'inscrivait pas dans le cadre d'un transfert non volontaire à l'unité carcérale psychiatrique. De plus, l'infirmière a estimé - par six fois - qu'il ne se justifiait pas de donner au recourant les médicaments demandés. Au vu des circonstances et du comportement du recourant (menaces d'incendies appels réitérés), la sanction disciplinaire prononcée à son encontre se justifiait, notamment sous l'angle de sa punissabilité du recourant, et était proportionnée. Recours rejeté.</w:t>
      </w:r>
    </w:p>
    <w:p>
      <w:pPr>
        <w:pStyle w:val="Heading2"/>
      </w:pPr>
      <w:r>
        <w:t>Erwägungen</w:t>
      </w:r>
    </w:p>
    <w:p>
      <w:r>
        <w:rPr>
          <w:b/>
        </w:rPr>
        <w:t>E. 12</w:t>
      </w:r>
    </w:p>
    <w:p>
      <w:r>
        <w:t>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w:t>
      </w:r>
    </w:p>
    <w:p>
      <w:r>
        <w:t>- 8/13 - A/548/2015</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(ATA/349/2015 précité consid. 2 ; ATA/183/2013 du 19 mars 2013 et la jurisprudence citée), dès lors qu'il ne ressort pas du dossier qu'il aurait quitté la prison à ce jour. Le recours est ainsi recevable de ce point de vue également. 3)</w:t>
      </w:r>
    </w:p>
    <w:p>
      <w:r>
        <w:t>Le recourant sollicite qu'une expertise psychiatrique soit ordonnée afin de vérifier le diagnostic posé par le service de médecine et de psychiatrie de la prison le 29 janvier 2015.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w:t>
      </w:r>
    </w:p>
    <w:p>
      <w:r>
        <w:t>- 9/13 - A/548/2015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ATA/317/2015 du 31 mars 2015 consid. 2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l'espèce, la chambre administrative dispose d'un dossier complet lui permettant de trancher le litige et de se prononcer sur les griefs soulevés en toute connaissance de cause.</w:t>
      </w:r>
    </w:p>
    <w:p>
      <w:r>
        <w:t>La conclusion préalable du recourant est rejetée. 4)</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w:t>
      </w:r>
    </w:p>
    <w:p>
      <w:r>
        <w:t>- 10/13 - A/548/2015 négligence n’ayant pas à être prévue dans une disposition expresse pour entraîner la punissabilité de l’auteur (ATA/349/2015 précité consid. 5 ; ATA/934/2014 du 25 novembre 2014 consid. 3 ; ATA/727/2014 du 9 septembre 2014 consid. 7 ; ATA/785/2012 du 20 novembre 2012 ; ATA/238/2012 du 24 avril 2012 et les références citées). 5)</w:t>
      </w:r>
    </w:p>
    <w:p>
      <w:r>
        <w:t>Sur un plan strictement médical, on admettra l’existence d’une irresponsabilité au sens de l’art. 19 al. 1 du code pénal suisse du 21 décembre 1937 (CP - RS 311.0) en cas de psychose particulière, schizophrénie ou atteinte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6) a. Le statut des personnes incarcérées à la prison est régi par le RRIP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l'art. 47 al. 3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w:t>
      </w:r>
    </w:p>
    <w:p>
      <w:r>
        <w:t>Le directeur peut déléguer la compétence de prononcer les sanctions prévues à l'al. 3 à d'autres fonctionnaires gradés de la prison jusqu'au grade de sous-chef. Les modalités de la délégation sont prévues dans un ordre de service (art. 47 al. 5 RRIP). 7)</w:t>
      </w:r>
    </w:p>
    <w:p>
      <w:r>
        <w:t>En l’espèce, il ne fait nul doute que le placement en cellule forte pour trois jours, infligé au recourant, constitue une sanction disciplinaire. Ainsi, la décision</w:t>
      </w:r>
    </w:p>
    <w:p>
      <w:r>
        <w:t>- 11/13 - A/548/2015 attaquée doit être examinée au regard des principes généraux du droit pénal et plus particulièrement celui de la faute.</w:t>
      </w:r>
    </w:p>
    <w:p>
      <w:r>
        <w:t>Il est reproché au recourant d'avoir, entre 21h00 et 22h32, effectué six appels de cellule et avoir menacé de mettre le feu à sa cellule.</w:t>
      </w:r>
    </w:p>
    <w:p>
      <w:r>
        <w:t>Il ressort du dossier que la prison était au courant de l'état de santé mental du recourant depuis le 2 janvier 2015 et que des mesures avaient été prises afin que ce dernier soit vu par un médecin.</w:t>
      </w:r>
    </w:p>
    <w:p>
      <w:r>
        <w:t>Le soir de l'incident, le recourant a effectué, en l'espace d'une heure et demi, six appels de cellule afin d'obtenir des médicaments.</w:t>
      </w:r>
    </w:p>
    <w:p>
      <w:r>
        <w:t>L'infirmière de nuit, estimant - par six fois - que l'état de santé mental du recourant ne justifiait pas une médication, a refusé de lui en donner.</w:t>
      </w:r>
    </w:p>
    <w:p>
      <w:r>
        <w:t>Placé en cellule forte le soir-même, le recourant a été vu et entendu, le lendemain, par la direction de la prison, et au vu de ses propos, le service médical de la prison a été avisé. Toutefois et contrairement aux ATA/934/2014 et ATA/727/2014 précités, l'état de santé mentale du recourant n'a pas justifié son transfert immédiat à l’unité hospitalière de psychiatrie pénitentiaire (ATA/934/2014 précité), respectivement ne s'inscrivait pas dans le cadre d'un transfert non volontaire à l'unité carcérale psychiatrique (ATA/727/2014 précité). Par ailleurs, l'état de santé mental du recourant n'a pas commandé l'interruption de la sanction disciplinaire de trois jours de cellule forte.</w:t>
      </w:r>
    </w:p>
    <w:p>
      <w:r>
        <w:t>Ces éléments pris dans leur ensemble constituent des indices suffisants pour admettre que le recourant, le soir du 18 janvier 2015, disposait d'une pleine conscience de son comportement, le rendant apte à la faute et pouvant entraîner sa punissabilité, étant relevé que les différents rapports médicaux figurant au dossier ne sauraient modifier cette appréciation.</w:t>
      </w:r>
    </w:p>
    <w:p>
      <w:r>
        <w:t>Par conséquent, dès lors que le comportement du recourant, qui a abusé d'appels de cellule et a menacé de mettre le feu à sa cellule s'avère de nature à troubler l'ordre et la tranquillité de l'établissement, son placement en cellule forte pour trois jours, cette sanction pouvant être prononcée pour dix jours au maximum, se justifie et respecte le principe de la proportionnalité, au vu des circonstances du cas d’espèce. 8)</w:t>
      </w:r>
    </w:p>
    <w:p>
      <w:r>
        <w:t>Le recourant soutient également que la sanction disciplinaire viole sa liberté personnelle sous l'angle de l'art. 10 al. 2 et de l'art. 5 de la Convention de sauvegarde des droits de l’homme et des libertés fondamentales du 4 novembre 1950 (CEDH - RS 0.101).</w:t>
      </w:r>
    </w:p>
    <w:p>
      <w:r>
        <w:t>Toutefois et comme exposé ci-dessus la sanction disciplinaire se justifiait, de sorte que le grief ne peut qu'être écarté.</w:t>
      </w:r>
    </w:p>
    <w:p>
      <w:r>
        <w:t>- 12/13 - A/548/2015 9)</w:t>
      </w:r>
    </w:p>
    <w:p>
      <w:r>
        <w:t>Compte tenu de ce qui précède, le recours sera rejeté.</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