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ATA/567/2016 vom 1. Juli 2016</w:t>
      </w:r>
    </w:p>
    <w:p>
      <w:r>
        <w:t>GE Cour de justice, 2016-07-01, FR</w:t>
      </w:r>
    </w:p>
    <w:p>
      <w:r>
        <w:rPr>
          <w:b/>
        </w:rPr>
        <w:t xml:space="preserve">Quelle: </w:t>
      </w:r>
      <w:r>
        <w:t>https://mcp.opencaselaw.ch/entscheid/ge_gerichte_ATA_567_2016</w:t>
      </w:r>
    </w:p>
    <w:p>
      <w:r>
        <w:t>FR: GE_GERICHTE ATA/567/2016 du 1 juillet 2016</w:t>
      </w:r>
    </w:p>
    <w:p>
      <w:r>
        <w:t>IT: GE_GERICHTE ATA/567/2016 del 1 luglio 2016</w:t>
      </w:r>
    </w:p>
    <w:p>
      <w:pPr>
        <w:pStyle w:val="Heading2"/>
      </w:pPr>
      <w:r>
        <w:t>Erwägungen</w:t>
      </w:r>
    </w:p>
    <w:p>
      <w:r>
        <w:rPr>
          <w:b/>
        </w:rPr>
        <w:t>E. 1</w:t>
      </w:r>
    </w:p>
    <w:p>
      <w:r>
        <w:t>Interjeté en temps utile auprès de la juridiction compétente, le recours est recevable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t>- 6/11 - A/1935/2016</w:t>
      </w:r>
    </w:p>
    <w:p>
      <w:r>
        <w:rPr>
          <w:b/>
        </w:rPr>
        <w:t>E. 2</w:t>
      </w:r>
    </w:p>
    <w:p>
      <w:r>
        <w:t>Selon l’art. 10 al. 2 LaLEtr, la chambre administrative doit statuer dans les dix jours qui suivent sa saisine. Ayant reçu le recours le 24 juin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(art. 75 al. 1 let. h et 76 al. 1 let. b ch. 1 LEtr).</w:t>
      </w:r>
    </w:p>
    <w:p>
      <w:r>
        <w:rPr>
          <w:b/>
        </w:rPr>
        <w:t>E. 6</w:t>
      </w:r>
    </w:p>
    <w:p>
      <w:r>
        <w:t>En l’espèce, le recourant fait l’objet d’une décision fédérale de renvoi de Suisse, définitive et exécutoire.</w:t>
      </w:r>
    </w:p>
    <w:p>
      <w:r>
        <w:t>- 7/11 - A/1935/2016</w:t>
      </w:r>
    </w:p>
    <w:p>
      <w:r>
        <w:t>Il a été condamné notamment pour vols et pour incendie intentionnel, soit des crimes au sens de l'art. 10 al. 2 du Code pénal suisse du 21 décembre 1937 (CP - RS 311.0).</w:t>
      </w:r>
    </w:p>
    <w:p>
      <w:r>
        <w:t>Il n'a pas quitté la Suisse dans le délai fixé par les autorités fédérales et n'a pas entrepris de démarches de son plein gré pour ce faire. Il a toujours refusé d’être renvoyé directement dans son pays d’origine, tout en invoquant être disposé à quitter la Suisse par ses propres moyens. De surcroît, ses allégations contradictoires sur son nom, sa date de naissance et son origine ne permettent pas de donner foi à ses propos et font craindre que s’il était libéré, il ne se réfugie dans la clandestinité pour échapper à son rapatriement.</w:t>
      </w:r>
    </w:p>
    <w:p>
      <w:r>
        <w:t>Compte tenu de ce qui précède, l’ordre de mise en détention administrative de l’intéressé sur la base de l’art. 76 al. 1 let. b ch. 1, 3 et 4 LEtr est fondé.</w:t>
      </w:r>
    </w:p>
    <w:p>
      <w:r>
        <w:rPr>
          <w:b/>
        </w:rPr>
        <w:t>E. 7</w:t>
      </w:r>
    </w:p>
    <w:p>
      <w:r>
        <w:t>Le recourant fait – en substance – grief à l’autorité de violer le principe de la célérité.</w:t>
      </w:r>
    </w:p>
    <w:p>
      <w:r>
        <w:t>a. L’autorité administrative doit entreprendre rapidement les démarches permettant l’exécution de la décision de renvoi (art. 76 al. 4 LEtr).</w:t>
      </w:r>
    </w:p>
    <w:p>
      <w:r>
        <w:t>Selon l’art. 76 al. 4 LEtr, les démarches nécessaires à l'exécution du renvoi ou de l'expulsion doivent être entreprises sans tarder. En outre, la durée de la détention doit être proportionnée par rapport aux circonstances d'espèce (ATF 133 II 97 consid. 2.2 p. 100 ; 130 II 56 consid. 1 p. 58 ; arrêt du Tribunal fédéral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w:t>
      </w:r>
    </w:p>
    <w:p>
      <w:r>
        <w:t>Il convient en particulier d'examiner, en fonction des circonstances concrètes, si la détention en vue d'assurer l'exécution d'un renvoi au sens de l'art. 5 § 1 let. f CEDH est (encore) adaptée et nécessaire (ATF 134 I 92 consid. 2.3.1 ; arrêt du Tribunal fédéral 2C_756/2009 du 15 décembre 2009 consid. 2.1).</w:t>
      </w:r>
    </w:p>
    <w:p>
      <w:r>
        <w:t>- 8/11 - A/1935/2016</w:t>
      </w:r>
    </w:p>
    <w:p>
      <w:r>
        <w:t>b. En l’espèce, les autorités concernées ont effectué les démarches nécessaires à l’obtention de documents dès qu’elles ont été informées de la date de sortie de prison de l’intéressé. Elles ont ainsi sollicité un laissez-passer aux autorités marocaines, non sans avoir aussi réservé une place sur un vol de ligne à destination du Maroc prévu pour le jour même de la libération de M. A______.</w:t>
      </w:r>
    </w:p>
    <w:p>
      <w:r>
        <w:t>Le délai nécessaire à l’établissement du laissez-passer ne peut toutefois pas être imputé aux autorités suisses, qui poursuivent différentes démarches, sans désemparer, auprès de l'ambassade du Maroc en Suisse.</w:t>
      </w:r>
    </w:p>
    <w:p>
      <w:r>
        <w:t>Il résulte de ces circonstances que le principe de célérité n'a pas été violé, les autorités ayant agi avec diligence.</w:t>
      </w:r>
    </w:p>
    <w:p>
      <w:r>
        <w:t>En conséquence, le grief est infondé.</w:t>
      </w:r>
    </w:p>
    <w:p>
      <w:r>
        <w:rPr>
          <w:b/>
        </w:rPr>
        <w:t>E. 8</w:t>
      </w:r>
    </w:p>
    <w:p>
      <w:r>
        <w:t>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10 juin 2016. Dès lors que la détention est due à son absence de coopération avec les autorités chargées de l’exécution de son renvoi, la décision d'ordonner sa mise en détention administrative, qui s’inscrit dans le cadre des dix-huit mois de détention autorisés, respecte le cadre légal.</w:t>
      </w:r>
    </w:p>
    <w:p>
      <w:r>
        <w:t>Quant à la durée de la détention prévue par l'ordre attaqué, elle est certes, comme l'a relevé le TAPI, relativement longue, mais néanmoins justifiée par la nécessité de prévoir suffisamment de temps pour obtenir le laissez-passer des autorités marocaines, et organiser l'exécution du renvoi par vol de ligne ainsi que, en cas d'échec de cette tentative, un renvoi par voie maritime qui ne pourrait, selon les renseignements du SEM non contestés par le recourant, intervenir au mieux qu'à la fin de l'été 2016.</w:t>
      </w:r>
    </w:p>
    <w:p>
      <w:r>
        <w:rPr>
          <w:b/>
        </w:rPr>
        <w:t>E. 9</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w:t>
      </w:r>
    </w:p>
    <w:p>
      <w:r>
        <w:t>- 9/11 - A/1935/2016 l’exécution du renvoi ou de l’expulsion s’avère impossible pour des raisons juridiques ou matérielles.</w:t>
      </w:r>
    </w:p>
    <w:p>
      <w:r>
        <w:t>b. Tant que l’impossibilité du renvoi dépend de la volonté de l’étranger de collaborer avec les autorités, celui-ci ne peut se prévaloir de cette impossibilité (arrêt du Tribunal fédéral 2C_639/2011 du 16 septembre 2011 consid. 4.1).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Par ailleurs, l'exécution du renvoi n’est pas possible lorsque l’étranger ne peut pas quitter la Suisse pour son État d’origine, son État de provenance ou un État tiers, ni être renvoyé dans un de ces États (art. 83 al. 2 LEtr), soit lorsque le refoulement se heurte à des obstacles objectifs et durables d'ordre technique (arrêt du Tribunal administratif fédéral C-4183/2011 du 16 janvier 2012 consid. 3.5).</w:t>
      </w:r>
    </w:p>
    <w:p>
      <w:r>
        <w:t>d. En l’espèce, le recourant fait valoir que la difficulté à obtenir un laissez-passer de la part des autorités marocaines rendrait l'exécution de son renvoi impossible. Tel n'est pas le cas en l'état, dès lors que les démarches n'ont été entreprises que depuis moins d'un mois, et que les autorités diplomatiques marocaines n'ont nullement opposé un refus de principe, mais, alors qu'elles sont en contact régulier avec le SEM, ont indiqué vouloir procéder à des vérifications supplémentaires à Rabat. Il n'est donc pas possible de retenir, aujourd'hui, que l'obtention d'un laissez-passer constitue un obstacle durable à l'exécution du renvoi du recourant.</w:t>
      </w:r>
    </w:p>
    <w:p>
      <w:r>
        <w:t>L’exécution du renvoi ne contrevient ainsi pas à l’art. 80 LEtr.</w:t>
      </w:r>
    </w:p>
    <w:p>
      <w:r>
        <w:rPr>
          <w:b/>
        </w:rPr>
        <w:t>E. 10</w:t>
      </w:r>
    </w:p>
    <w:p>
      <w:r>
        <w:t>Le maintien en détention administrative est dès lors conforme au principe de proportionnalité, aucune mesure moins incisive ne permettant d’assurer la présence de l’intéressé le jour où l’exécution du renvoi pourra avoir lieu.</w:t>
      </w:r>
    </w:p>
    <w:p>
      <w:r>
        <w:rPr>
          <w:b/>
        </w:rPr>
        <w:t>E. 11</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- 10/11 - A/1935/2016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