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ATA/566/2013 vom 28. August 2013</w:t>
      </w:r>
    </w:p>
    <w:p>
      <w:r>
        <w:t>GE Cour de justice, 2013-08-28, FR</w:t>
      </w:r>
    </w:p>
    <w:p>
      <w:r>
        <w:rPr>
          <w:b/>
        </w:rPr>
        <w:t xml:space="preserve">Quelle: </w:t>
      </w:r>
      <w:r>
        <w:t>https://mcp.opencaselaw.ch/entscheid/ge_gerichte_ATA_566_2013</w:t>
      </w:r>
    </w:p>
    <w:p>
      <w:r>
        <w:t>FR: GE_GERICHTE ATA/566/2013 du 28 août 2013</w:t>
      </w:r>
    </w:p>
    <w:p>
      <w:r>
        <w:t>IT: GE_GERICHTE ATA/566/2013 del 28 agosto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(ATA/402/2013 du 25 juin 2013 ; ATA/258/2011 du 19 avril 2011).</w:t>
      </w:r>
    </w:p>
    <w:p>
      <w:r>
        <w:rPr>
          <w:b/>
        </w:rPr>
        <w:t>E. 3</w:t>
      </w:r>
    </w:p>
    <w:p>
      <w:r>
        <w:t>En l’espèce, l’avance de frais demandée par pli recommandé n’a pas été versée, la recourante n’ayant pas retiré l’envoi dans le délai de garde postale.</w:t>
      </w:r>
    </w:p>
    <w:p>
      <w:r>
        <w:rPr>
          <w:b/>
        </w:rPr>
        <w:t>E. 4</w:t>
      </w:r>
    </w:p>
    <w:p>
      <w:r>
        <w:t>a. Les délais fixés par le juge ont un caractère impératif. Ils peuvent être prolongés sur requête motivée de la personne à laquelle ils sont imposés si cette dernière effectue une démarche dans ce sens avant l’échéance du délai imparti (art. 16 al. 2 LPA).</w:t>
      </w:r>
    </w:p>
    <w:p>
      <w:r>
        <w:t>b. Les cas de force majeure sont réservés, conformément à l’art. 16 al. 1, 2ème phrase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 T. GUHL, Das Schweizerische Obligationenrecht, 9ème éd., 2000, p. 229 et les références citées).</w:t>
      </w:r>
    </w:p>
    <w:p>
      <w:r>
        <w:rPr>
          <w:b/>
        </w:rPr>
        <w:t>E. 5</w:t>
      </w:r>
    </w:p>
    <w:p>
      <w:r>
        <w:t>S’agissant d’un acte soumis à réception, telle une décision ou une communication de procédure, la notification est réputée faite au moment où l’envoi entre dans la sphère de pouvoir de son destinataire (P. MOOR, Droit administratif, vol. 2, 3ème éd., 2011, pp. 302-303 n. 2.2.8.3). Il suffit que celui-ci puisse en prendre connaissance (ATF 118 II 42 consid. 3b p. 44 ; 115 Ia 12 consid. 3b p. 17 ; Arrêts du Tribunal fédéral 2P.259/2006 du 18 avril 2007</w:t>
      </w:r>
    </w:p>
    <w:p>
      <w:r>
        <w:t>- 4/5 - A/1024/2013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w:t>
      </w:r>
    </w:p>
    <w:p>
      <w:r>
        <w:t>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 citées). S’agissant d’une décision qui n’est remise que contre signature du destinataire ou d’un tiers habilité, elle est réputée reçue au plus tard sept jours après la première tentative infructueuse de présentation (art. 62 al. 4 LPA).</w:t>
      </w:r>
    </w:p>
    <w:p>
      <w:r>
        <w:rPr>
          <w:b/>
        </w:rPr>
        <w:t>E. 6</w:t>
      </w:r>
    </w:p>
    <w:p>
      <w:r>
        <w:t>Dans le cas particulier, le pli du 3 avril 2013 contenant la demande d’avance de frais n’a pu être distribué le 5 avril 2013 et n’a pas été retiré dans le délai de garde qui venait à échéance le 12 avril 2013. A cette date, le pli recommandé était censé avoir été distribué. Le délai de paiement n'était pas échu, ni sur le point de l'être, puisqu'il courait encore pendant vingt et un jours. La recourante ne se prévaut d’aucun motif exceptionnel qui autoriserait une restitution du délai a posteriori. Le fait allégué d'être souvent absente pour raison professionnelle non seulement n'en constitue pas un, mais encore, selon la jurisprudence susmentionnée, emporte au contraire l'obligation pour l'intéressée de s'organiser de manière à ce que ce type de communication lui parvienne en temps utiles. Le jugement du TAPI du 5 juin 2013 ne peut ainsi qu’être confirmé.</w:t>
      </w:r>
    </w:p>
    <w:p>
      <w:r>
        <w:rPr>
          <w:b/>
        </w:rPr>
        <w:t>E. 7</w:t>
      </w:r>
    </w:p>
    <w:p>
      <w:r>
        <w:t>Manifestement mal fondé, le recours sera rejeté, sans instruction préalable, en application de l’art. 72 LPA.</w:t>
      </w:r>
    </w:p>
    <w:p>
      <w:r>
        <w:t>Conformément à la pratique de la chambre administrative, aucun émolument ne sera mis à la charge de la recourante, bien qu’elle succombe (art. 87 LPA) (ATA/403/2013 déjà cité).</w:t>
      </w:r>
    </w:p>
    <w:p>
      <w:r>
        <w:t>* * * * *</w:t>
      </w:r>
    </w:p>
    <w:p>
      <w:r>
        <w:t>- 5/5 - A/1024/2013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